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0" w:line="240" w:lineRule="auto"/>
        <w:ind w:firstLine="709"/>
        <w:rPr>
          <w:rFonts w:ascii="PT Astra Serif" w:eastAsia="Calibri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Слайд № 1</w:t>
      </w:r>
    </w:p>
    <w:p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«Об итогах работы по обеспечению безопасности людей на водных объектах Балаковского муниципального района в летнем периоде 2023 года»</w:t>
      </w:r>
    </w:p>
    <w:p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>
      <w:pPr>
        <w:spacing w:after="0" w:line="240" w:lineRule="auto"/>
        <w:ind w:firstLine="709"/>
        <w:rPr>
          <w:rFonts w:ascii="PT Astra Serif" w:eastAsia="Calibri" w:hAnsi="PT Astra Serif" w:cs="Times New Roman"/>
          <w:b/>
          <w:sz w:val="28"/>
          <w:szCs w:val="28"/>
          <w:u w:val="single"/>
        </w:rPr>
      </w:pPr>
      <w:r>
        <w:rPr>
          <w:rFonts w:ascii="PT Astra Serif" w:eastAsia="Calibri" w:hAnsi="PT Astra Serif" w:cs="Times New Roman"/>
          <w:b/>
          <w:sz w:val="28"/>
          <w:szCs w:val="28"/>
          <w:u w:val="single"/>
        </w:rPr>
        <w:t>Слайд № 2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Актуальность данного вопроса, организация и практическое осуществление мероприятий по этому направлению очевидна, т.к. от этого зависит жизнь наших людей.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Хочу заметить, что задача эта комплексная и реализовывается совместно с Федеральными, областными и муниципальными учреждениями и организациями. </w:t>
      </w:r>
    </w:p>
    <w:p>
      <w:pPr>
        <w:spacing w:after="0" w:line="240" w:lineRule="auto"/>
        <w:ind w:firstLine="709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Слайд № 3</w:t>
      </w:r>
    </w:p>
    <w:p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Администрация Балаковского муниципального района, свою работу по данному направлению организовывала </w:t>
      </w:r>
      <w:proofErr w:type="gram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согласно</w:t>
      </w:r>
      <w:proofErr w:type="gramEnd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действующего законодательства и имеющихся полномочий. </w:t>
      </w:r>
    </w:p>
    <w:p>
      <w:pPr>
        <w:spacing w:after="0" w:line="240" w:lineRule="auto"/>
        <w:ind w:firstLine="720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Слайд № 4</w:t>
      </w:r>
    </w:p>
    <w:p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Хочу доложить, чт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о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Работа по подготовке к летнему купальному сезону по мероприятиям обеспечения безопасности людей на водных объектах, началась задолго до его наступления.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Еще в апреле месяце проведено заседание комиссии по чрезвычайным ситуациям района, на котором были поставлены задачи и определены исполнители, отвечающие за организацию обеспечения безопасности людей на водных объектах, расположенных на территории.</w:t>
      </w:r>
    </w:p>
    <w:p>
      <w:pPr>
        <w:spacing w:after="0" w:line="240" w:lineRule="auto"/>
        <w:ind w:firstLine="720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</w:p>
    <w:p>
      <w:pPr>
        <w:spacing w:after="0" w:line="240" w:lineRule="auto"/>
        <w:ind w:firstLine="720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Слайд № 5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В муниципальном районе была создана вся необходимая законодательная нормативно-правовая база по исполнению действующих полномочий.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Распоряжением главы 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от 24апреля 2023 года№ 1587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былсоздан оперативный штаб по </w:t>
      </w:r>
      <w:proofErr w:type="gram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контролю за</w:t>
      </w:r>
      <w:proofErr w:type="gramEnd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обеспечением безопасности людей на водных объектах, а также утвержден План мероприятий на весенне-летний период 2023 года.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Уточнено взаимодействие подразделений администрации района, Межмуниципального Управления МВД РФ «Балаковское», Государственной инспекции по маломерным судам в г. Балаково, речной полиции, учреждений здравоохранения, Роспотребнадзора и другими службами по организации работы в данной области.</w:t>
      </w:r>
    </w:p>
    <w:p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Уважаемые коллеги!</w:t>
      </w:r>
    </w:p>
    <w:p>
      <w:pPr>
        <w:spacing w:after="0" w:line="240" w:lineRule="auto"/>
        <w:ind w:firstLine="709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Слайд № 6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Одной из особенностей водной структуры нашей территории, является разветвленная сеть рек, которая в жаркое время становится на всем протяжении, несанкционированными местами для купания. 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Достаточно сказать, что площадь земель водного фонда в административных границах Балаковского района составляет 20 тыс. </w:t>
      </w:r>
      <w:smartTag w:uri="urn:schemas-microsoft-com:office:smarttags" w:element="metricconverter">
        <w:smartTagPr>
          <w:attr w:name="ProductID" w:val="478 га"/>
        </w:smartTagPr>
        <w:r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478 га</w:t>
        </w:r>
      </w:smartTag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(занятых водой). </w:t>
      </w:r>
    </w:p>
    <w:p>
      <w:pPr>
        <w:spacing w:after="0" w:line="240" w:lineRule="auto"/>
        <w:ind w:firstLine="709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Слайд № 7 - 8</w:t>
      </w:r>
    </w:p>
    <w:p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Местами для купания в </w:t>
      </w:r>
      <w:proofErr w:type="gram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г</w:t>
      </w:r>
      <w:proofErr w:type="gramEnd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Балаково, являются официальные пляжи: в 1 и в 7 микрорайонах, а также в детских оздоровительных лагерях «Ласточка» и «Салют», гдедо наступления купального сезона, заблаговременно и в полном объеме были проведены подготовительные мероприятия. Перед началом купального сезона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комиссией по приемке были проведены проверки готовности пляжей. На всех пляжах подготовлены спасательные посты. </w:t>
      </w:r>
    </w:p>
    <w:p>
      <w:pPr>
        <w:spacing w:after="0" w:line="240" w:lineRule="auto"/>
        <w:ind w:firstLine="709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Слайд № 9 - 10</w:t>
      </w:r>
    </w:p>
    <w:p>
      <w:pPr>
        <w:shd w:val="clear" w:color="auto" w:fill="FFFFFF"/>
        <w:tabs>
          <w:tab w:val="left" w:pos="9923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На постоянной основе на постоянном контроле находилась работа спасателей по выполнению ими функциональных обязанностей.</w:t>
      </w:r>
    </w:p>
    <w:p>
      <w:pPr>
        <w:shd w:val="clear" w:color="auto" w:fill="FFFFFF"/>
        <w:tabs>
          <w:tab w:val="left" w:pos="9923"/>
        </w:tabs>
        <w:spacing w:after="0" w:line="240" w:lineRule="auto"/>
        <w:ind w:right="424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На базе детского оздоровительного центра «Ласточка», были проведены соревнования «Школа безопасности», где одним из этапов было оказание помощи утопающему на воде.</w:t>
      </w:r>
    </w:p>
    <w:p>
      <w:pPr>
        <w:spacing w:after="0" w:line="240" w:lineRule="auto"/>
        <w:ind w:firstLine="709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Слайд № 11</w:t>
      </w:r>
    </w:p>
    <w:p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Немного статистики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период летнего сезона 2023 года, по сравнению с аналогичным периодом 2022 г., произошел снижение гибели людей на водных объектах (4 человека, против 7 человек соответственно). 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Основными причинами случаев гибели людей на водных объектах района в 2023 году, исходя из мониторинга, как и в предыдущие годы являются:</w:t>
      </w:r>
    </w:p>
    <w:p>
      <w:pPr>
        <w:spacing w:after="0" w:line="240" w:lineRule="auto"/>
        <w:ind w:firstLine="709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Слайд № 12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- купание в неустановленных и необорудованных для этих целей местах;</w:t>
      </w:r>
    </w:p>
    <w:p>
      <w:pPr>
        <w:spacing w:after="0" w:line="240" w:lineRule="auto"/>
        <w:ind w:firstLine="709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Слайд № 13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 низкая культура поведения у воды и на </w:t>
      </w:r>
      <w:proofErr w:type="gram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воде-купание</w:t>
      </w:r>
      <w:proofErr w:type="gramEnd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рыбная ловля в состоянии алкогольного опьянения. </w:t>
      </w:r>
    </w:p>
    <w:p>
      <w:pPr>
        <w:spacing w:after="0" w:line="240" w:lineRule="auto"/>
        <w:ind w:firstLine="709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Слайд № 14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- неумение людей плавать;</w:t>
      </w:r>
    </w:p>
    <w:p>
      <w:pPr>
        <w:spacing w:after="0" w:line="240" w:lineRule="auto"/>
        <w:ind w:firstLine="709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Слайд № 15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- несоблюдение элементарных мер безопасности на водоемах, установленных правилами охраны жизни людей на воде, переоценка своих сил;</w:t>
      </w:r>
    </w:p>
    <w:p>
      <w:pPr>
        <w:spacing w:after="0" w:line="240" w:lineRule="auto"/>
        <w:ind w:firstLine="709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Слайд № 16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- низкий контроль, а иногда и беспечность со стороны родителей и взрослых за детьми при отдыхе на воде.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И обусловлено это конечно человеческим фактором.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>
      <w:pPr>
        <w:spacing w:after="0" w:line="240" w:lineRule="auto"/>
        <w:ind w:firstLine="709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Слайд № 17</w:t>
      </w:r>
    </w:p>
    <w:p>
      <w:pPr>
        <w:spacing w:after="0" w:line="240" w:lineRule="auto"/>
        <w:ind w:firstLine="720"/>
        <w:jc w:val="center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Уважаемые участники совещания!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Исходя из выше перечисленных причин, администрация района сконцентрировала свои усилия в работе, по возможному предупреждению данных факторов, порождающих соответствующие последствия.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На базе курсов гражданской обороны района были организованы занятия с руководителями и лицами ответственными </w:t>
      </w:r>
      <w:proofErr w:type="gram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за досуг на воде в детских оздоровительных лагерях по правилам безопасности на воде</w:t>
      </w:r>
      <w:proofErr w:type="gramEnd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при купании детей.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Слайд № 18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Во всех общеобразовательных учреждениях, учреждениях среднего профессионального образования, филиалах высших учебных заведений, расположенных на территории Балаковского района, в мае месяце были проведены занятия в рамках соответствующих дисциплин, связанные с обеспечением безопасности нахождения у водных объектов. На собраниях родителям доведены меры безопасности на водных объектах с напоминанием </w:t>
      </w:r>
      <w:proofErr w:type="gram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об</w:t>
      </w:r>
      <w:proofErr w:type="gramEnd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недопущении оставления детей без присмотра у воды.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Хочу заметить, что во всех учебных учреждениях размещены информационные стенды, связанные с обеспечением безопасности на воде и оказании первой помощи. </w:t>
      </w:r>
    </w:p>
    <w:p>
      <w:pPr>
        <w:spacing w:after="0" w:line="240" w:lineRule="auto"/>
        <w:ind w:firstLine="709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Слайды № 19-20-21-22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До начала активного купального сезона, в целях предупреждения несчастных случаев согласованы места установки и установлено необходимое количество знаков безопасности «Купаться запрещено» силами подведомственных организаций и организаций, имеющих на закрепленной за ними территории места выхода к водным объектам. 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Всего установлено 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35 знаков + </w:t>
      </w:r>
      <w:r>
        <w:rPr>
          <w:rFonts w:ascii="PT Astra Serif" w:hAnsi="PT Astra Serif" w:cs="Times New Roman"/>
          <w:b/>
          <w:sz w:val="28"/>
          <w:szCs w:val="28"/>
        </w:rPr>
        <w:t>4 аншлага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безопасности в пределах границ МО г. Балаково и 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40 знаков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 сельских муниципальных образованиях, входящих в состав района.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Для информирования населения о мерах по безопасному поведению на воде установлено 8 тематических аншлагов (баннеров).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>
      <w:pPr>
        <w:spacing w:after="0" w:line="240" w:lineRule="auto"/>
        <w:ind w:firstLine="709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Слайд № 23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На сайте администрации района в сети Интернет в течени</w:t>
      </w:r>
      <w:proofErr w:type="gram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proofErr w:type="gramEnd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летнего периода опубликовано 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27 заметок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 проведению рейдов по безопасности на воде, в печатных изданиях размещено 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17 статей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 данную тему.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Также, на сайте в разделе гражданская защита – информация для жителей, одним из информационных блоков размещена полная информация по данному вопросу. </w:t>
      </w:r>
    </w:p>
    <w:p>
      <w:pPr>
        <w:spacing w:after="0" w:line="240" w:lineRule="auto"/>
        <w:ind w:firstLine="709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Слайд № 24-25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Хочу заметить, что: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рамках текущего благоустройства территорий и обеспечения безопасности людей на водных объектах, администрацией района в 2023 году проводились работы на городских пляжах, расположенных в районах 1-го и 7-го микрорайонов, а именно: очистка дна на 15 метров, завоз песка, планировка песочного покрытия, истребительная дератизация, </w:t>
      </w:r>
      <w:proofErr w:type="spell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ларвицидная</w:t>
      </w:r>
      <w:proofErr w:type="spellEnd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обработка, </w:t>
      </w:r>
      <w:proofErr w:type="spell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акарициднаяобработка</w:t>
      </w:r>
      <w:proofErr w:type="spellEnd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другие…</w:t>
      </w:r>
    </w:p>
    <w:p>
      <w:pPr>
        <w:spacing w:after="0" w:line="240" w:lineRule="auto"/>
        <w:ind w:firstLine="709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</w:p>
    <w:p>
      <w:pPr>
        <w:spacing w:after="0" w:line="240" w:lineRule="auto"/>
        <w:ind w:firstLine="709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Слайды № 26-27-28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течение всего летнего сезона, в соответствии с утверждённым графиком, в рамках «Месячника безопасности», проводились совместные патрулирования и профилактические рейды, как официальных пляжей, так и несанкционированных мест массового выхода людей на водные объекты. </w:t>
      </w:r>
      <w:proofErr w:type="gram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proofErr w:type="gramEnd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которых</w:t>
      </w:r>
      <w:proofErr w:type="gramEnd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принимали участие все заинтересованные структуры, а также представители средств массовой информации. 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Данная работа была организована 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по двум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направлениям.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Первое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- 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профилактическая </w:t>
      </w:r>
      <w:proofErr w:type="gramStart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работа</w:t>
      </w:r>
      <w:proofErr w:type="gramEnd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 которой принимали участие (представители отделения «Центра ГИМС МЧС России по Саратовской области», сотрудники Балаковского аварийно-спасательного формирования «Службы спасения», сотрудники отдела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по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делам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несовершеннолетних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при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МВД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РФ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«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Балаковское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»,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представители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независимой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организации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«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Гражданский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дозор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»,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специалисты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администрации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).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sz w:val="28"/>
          <w:szCs w:val="28"/>
          <w:lang w:eastAsia="ru-RU"/>
        </w:rPr>
        <w:t>За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летний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период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2023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года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проведено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78 </w:t>
      </w:r>
      <w:r>
        <w:rPr>
          <w:rFonts w:ascii="PT Astra Serif" w:eastAsia="Times New Roman" w:hAnsi="PT Astra Serif" w:cs="Arial"/>
          <w:b/>
          <w:sz w:val="28"/>
          <w:szCs w:val="28"/>
          <w:lang w:eastAsia="ru-RU"/>
        </w:rPr>
        <w:t>профилактических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b/>
          <w:sz w:val="28"/>
          <w:szCs w:val="28"/>
          <w:lang w:eastAsia="ru-RU"/>
        </w:rPr>
        <w:t>рейдов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ходе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которых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было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охвачено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b/>
          <w:sz w:val="28"/>
          <w:szCs w:val="28"/>
          <w:lang w:eastAsia="ru-RU"/>
        </w:rPr>
        <w:t>более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1300 </w:t>
      </w:r>
      <w:r>
        <w:rPr>
          <w:rFonts w:ascii="PT Astra Serif" w:eastAsia="Times New Roman" w:hAnsi="PT Astra Serif" w:cs="Arial"/>
          <w:b/>
          <w:sz w:val="28"/>
          <w:szCs w:val="28"/>
          <w:lang w:eastAsia="ru-RU"/>
        </w:rPr>
        <w:t>человек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роздано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b/>
          <w:sz w:val="28"/>
          <w:szCs w:val="28"/>
          <w:lang w:eastAsia="ru-RU"/>
        </w:rPr>
        <w:t>более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1182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памяток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о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мерах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безопасного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поведения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на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воде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</w:t>
      </w:r>
    </w:p>
    <w:p>
      <w:pPr>
        <w:spacing w:after="0" w:line="240" w:lineRule="auto"/>
        <w:ind w:firstLine="709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Arial"/>
          <w:b/>
          <w:sz w:val="28"/>
          <w:szCs w:val="28"/>
          <w:u w:val="single"/>
          <w:lang w:eastAsia="ru-RU"/>
        </w:rPr>
        <w:lastRenderedPageBreak/>
        <w:t>Слайд</w:t>
      </w: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 xml:space="preserve"> </w:t>
      </w:r>
      <w:r>
        <w:rPr>
          <w:rFonts w:ascii="PT Astra Serif" w:eastAsia="Times New Roman" w:hAnsi="PT Astra Serif" w:cs="Arial"/>
          <w:b/>
          <w:sz w:val="28"/>
          <w:szCs w:val="28"/>
          <w:u w:val="single"/>
          <w:lang w:eastAsia="ru-RU"/>
        </w:rPr>
        <w:t>№</w:t>
      </w: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 xml:space="preserve"> 29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i/>
          <w:sz w:val="28"/>
          <w:szCs w:val="28"/>
          <w:lang w:eastAsia="ru-RU"/>
        </w:rPr>
        <w:t>Второе</w:t>
      </w:r>
      <w:r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b/>
          <w:i/>
          <w:sz w:val="28"/>
          <w:szCs w:val="28"/>
          <w:lang w:eastAsia="ru-RU"/>
        </w:rPr>
        <w:t>направление</w:t>
      </w:r>
      <w:r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 -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работа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b/>
          <w:sz w:val="28"/>
          <w:szCs w:val="28"/>
          <w:lang w:eastAsia="ru-RU"/>
        </w:rPr>
        <w:t>административной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b/>
          <w:sz w:val="28"/>
          <w:szCs w:val="28"/>
          <w:lang w:eastAsia="ru-RU"/>
        </w:rPr>
        <w:t>комиссии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составе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специалистов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административной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комиссии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администрации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района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сотрудников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МВД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России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«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Балаковское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».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ходе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данных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рейдов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было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составлено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148 </w:t>
      </w:r>
      <w:r>
        <w:rPr>
          <w:rFonts w:ascii="PT Astra Serif" w:eastAsia="Times New Roman" w:hAnsi="PT Astra Serif" w:cs="Arial"/>
          <w:b/>
          <w:sz w:val="28"/>
          <w:szCs w:val="28"/>
          <w:lang w:eastAsia="ru-RU"/>
        </w:rPr>
        <w:t>протоколов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на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общую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сумму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135 </w:t>
      </w:r>
      <w:r>
        <w:rPr>
          <w:rFonts w:ascii="PT Astra Serif" w:eastAsia="Times New Roman" w:hAnsi="PT Astra Serif" w:cs="Arial"/>
          <w:b/>
          <w:sz w:val="28"/>
          <w:szCs w:val="28"/>
          <w:lang w:eastAsia="ru-RU"/>
        </w:rPr>
        <w:t>тыс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. </w:t>
      </w:r>
      <w:r>
        <w:rPr>
          <w:rFonts w:ascii="PT Astra Serif" w:eastAsia="Times New Roman" w:hAnsi="PT Astra Serif" w:cs="Arial"/>
          <w:b/>
          <w:sz w:val="28"/>
          <w:szCs w:val="28"/>
          <w:lang w:eastAsia="ru-RU"/>
        </w:rPr>
        <w:t>рублей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.</w:t>
      </w:r>
      <w:bookmarkStart w:id="0" w:name="_GoBack"/>
      <w:bookmarkEnd w:id="0"/>
    </w:p>
    <w:p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sz w:val="28"/>
          <w:szCs w:val="28"/>
          <w:lang w:eastAsia="ru-RU"/>
        </w:rPr>
        <w:t>Дополнительно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: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sz w:val="28"/>
          <w:szCs w:val="28"/>
          <w:lang w:eastAsia="ru-RU"/>
        </w:rPr>
        <w:t>Сотрудниками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управления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совместно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дежурными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сменамиБалаковского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филиала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«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Служба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спасения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Саратовской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области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»,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периодически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проводились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объезды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наиболее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опасных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участков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водной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акватории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расположенных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на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территории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Балаковского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муниципального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района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(35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выездов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).</w:t>
      </w:r>
    </w:p>
    <w:p>
      <w:pPr>
        <w:spacing w:after="0" w:line="240" w:lineRule="auto"/>
        <w:ind w:firstLine="709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Arial"/>
          <w:b/>
          <w:sz w:val="28"/>
          <w:szCs w:val="28"/>
          <w:u w:val="single"/>
          <w:lang w:eastAsia="ru-RU"/>
        </w:rPr>
        <w:t>Слайд</w:t>
      </w: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 xml:space="preserve"> </w:t>
      </w:r>
      <w:r>
        <w:rPr>
          <w:rFonts w:ascii="PT Astra Serif" w:eastAsia="Times New Roman" w:hAnsi="PT Astra Serif" w:cs="Arial"/>
          <w:b/>
          <w:sz w:val="28"/>
          <w:szCs w:val="28"/>
          <w:u w:val="single"/>
          <w:lang w:eastAsia="ru-RU"/>
        </w:rPr>
        <w:t>№</w:t>
      </w: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 xml:space="preserve"> 30</w:t>
      </w:r>
    </w:p>
    <w:p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i/>
          <w:sz w:val="28"/>
          <w:szCs w:val="28"/>
          <w:lang w:eastAsia="ru-RU"/>
        </w:rPr>
        <w:t>Также</w:t>
      </w:r>
      <w:r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: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sz w:val="28"/>
          <w:szCs w:val="28"/>
          <w:lang w:eastAsia="ru-RU"/>
        </w:rPr>
        <w:t>С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целью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профилактики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безопасности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при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перевозке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отдыхающих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на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остров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Девичий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(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Пустынный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),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расположенный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на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территории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Вольского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муниципального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района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инспекторами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ГИМС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речной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полицией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>,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представителями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прокуратуры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совместно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proofErr w:type="gramStart"/>
      <w:r>
        <w:rPr>
          <w:rFonts w:ascii="PT Astra Serif" w:eastAsia="Times New Roman" w:hAnsi="PT Astra Serif" w:cs="Arial"/>
          <w:sz w:val="28"/>
          <w:szCs w:val="28"/>
          <w:lang w:eastAsia="ru-RU"/>
        </w:rPr>
        <w:t>с</w:t>
      </w:r>
      <w:proofErr w:type="gramEnd"/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специалистами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администрации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на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постоянной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основе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проводились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мероприятия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по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проверке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судовладельцев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осуществляющих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перевозку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. 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ходе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данных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мероприятий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проверялось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наличие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документов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на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перевозку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(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водительское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удостоверение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лицензия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технические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документы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),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а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также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укомплектованность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судна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соответствии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правилами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перевозки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людей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.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На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старой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пристани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районе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посадки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отдыхающих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было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установлено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2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информационных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аншлага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(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баннера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),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информацией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о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необходимой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комплектации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маломерных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судов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безопасном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поведении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во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время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прогулок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на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воде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>.</w:t>
      </w:r>
    </w:p>
    <w:p>
      <w:pPr>
        <w:spacing w:after="0" w:line="240" w:lineRule="auto"/>
        <w:ind w:firstLine="709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Arial"/>
          <w:b/>
          <w:sz w:val="28"/>
          <w:szCs w:val="28"/>
          <w:u w:val="single"/>
          <w:lang w:eastAsia="ru-RU"/>
        </w:rPr>
        <w:t>Слайд</w:t>
      </w:r>
      <w:r>
        <w:rPr>
          <w:rFonts w:ascii="PT Astra Serif" w:eastAsia="Times New Roman" w:hAnsi="PT Astra Serif" w:cs="Albertus MT"/>
          <w:b/>
          <w:sz w:val="28"/>
          <w:szCs w:val="28"/>
          <w:u w:val="single"/>
          <w:lang w:eastAsia="ru-RU"/>
        </w:rPr>
        <w:t xml:space="preserve"> </w:t>
      </w:r>
      <w:r>
        <w:rPr>
          <w:rFonts w:ascii="PT Astra Serif" w:eastAsia="Times New Roman" w:hAnsi="PT Astra Serif" w:cs="Arial"/>
          <w:b/>
          <w:sz w:val="28"/>
          <w:szCs w:val="28"/>
          <w:u w:val="single"/>
          <w:lang w:eastAsia="ru-RU"/>
        </w:rPr>
        <w:t>№</w:t>
      </w:r>
      <w:r>
        <w:rPr>
          <w:rFonts w:ascii="PT Astra Serif" w:eastAsia="Times New Roman" w:hAnsi="PT Astra Serif" w:cs="Albertus MT"/>
          <w:b/>
          <w:sz w:val="28"/>
          <w:szCs w:val="28"/>
          <w:u w:val="single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31</w:t>
      </w:r>
    </w:p>
    <w:p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sz w:val="28"/>
          <w:szCs w:val="28"/>
          <w:lang w:eastAsia="ru-RU"/>
        </w:rPr>
        <w:t>С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открытием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навигации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202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года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для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различных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типов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судов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на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водных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бассейнах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Саратовской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области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целью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принятия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экстренных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мер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связанных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возможными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чрезвычайными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ситуациями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на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воде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через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ЕДДС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было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организовано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взаимодействие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диспетчерскими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службами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Самарского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Саратовского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отделов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агентства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водных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ресурсов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>.</w:t>
      </w:r>
    </w:p>
    <w:p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Arial"/>
          <w:b/>
          <w:sz w:val="28"/>
          <w:szCs w:val="28"/>
          <w:u w:val="single"/>
          <w:lang w:eastAsia="ru-RU"/>
        </w:rPr>
        <w:t>В</w:t>
      </w:r>
      <w:r>
        <w:rPr>
          <w:rFonts w:ascii="PT Astra Serif" w:eastAsia="Times New Roman" w:hAnsi="PT Astra Serif" w:cs="Albertus MT"/>
          <w:b/>
          <w:sz w:val="28"/>
          <w:szCs w:val="28"/>
          <w:u w:val="single"/>
          <w:lang w:eastAsia="ru-RU"/>
        </w:rPr>
        <w:t xml:space="preserve"> </w:t>
      </w:r>
      <w:r>
        <w:rPr>
          <w:rFonts w:ascii="PT Astra Serif" w:eastAsia="Times New Roman" w:hAnsi="PT Astra Serif" w:cs="Arial"/>
          <w:b/>
          <w:sz w:val="28"/>
          <w:szCs w:val="28"/>
          <w:u w:val="single"/>
          <w:lang w:eastAsia="ru-RU"/>
        </w:rPr>
        <w:t>заключении</w:t>
      </w:r>
      <w:r>
        <w:rPr>
          <w:rFonts w:ascii="PT Astra Serif" w:eastAsia="Times New Roman" w:hAnsi="PT Astra Serif" w:cs="Albertus MT"/>
          <w:b/>
          <w:sz w:val="28"/>
          <w:szCs w:val="28"/>
          <w:u w:val="single"/>
          <w:lang w:eastAsia="ru-RU"/>
        </w:rPr>
        <w:t xml:space="preserve"> </w:t>
      </w:r>
      <w:r>
        <w:rPr>
          <w:rFonts w:ascii="PT Astra Serif" w:eastAsia="Times New Roman" w:hAnsi="PT Astra Serif" w:cs="Arial"/>
          <w:b/>
          <w:sz w:val="28"/>
          <w:szCs w:val="28"/>
          <w:u w:val="single"/>
          <w:lang w:eastAsia="ru-RU"/>
        </w:rPr>
        <w:t>хочу</w:t>
      </w:r>
      <w:r>
        <w:rPr>
          <w:rFonts w:ascii="PT Astra Serif" w:eastAsia="Times New Roman" w:hAnsi="PT Astra Serif" w:cs="Albertus MT"/>
          <w:b/>
          <w:sz w:val="28"/>
          <w:szCs w:val="28"/>
          <w:u w:val="single"/>
          <w:lang w:eastAsia="ru-RU"/>
        </w:rPr>
        <w:t xml:space="preserve"> </w:t>
      </w:r>
      <w:r>
        <w:rPr>
          <w:rFonts w:ascii="PT Astra Serif" w:eastAsia="Times New Roman" w:hAnsi="PT Astra Serif" w:cs="Arial"/>
          <w:b/>
          <w:sz w:val="28"/>
          <w:szCs w:val="28"/>
          <w:u w:val="single"/>
          <w:lang w:eastAsia="ru-RU"/>
        </w:rPr>
        <w:t>добавить</w:t>
      </w:r>
      <w:r>
        <w:rPr>
          <w:rFonts w:ascii="PT Astra Serif" w:eastAsia="Times New Roman" w:hAnsi="PT Astra Serif" w:cs="Albertus MT"/>
          <w:b/>
          <w:sz w:val="28"/>
          <w:szCs w:val="28"/>
          <w:u w:val="single"/>
          <w:lang w:eastAsia="ru-RU"/>
        </w:rPr>
        <w:t xml:space="preserve">, </w:t>
      </w:r>
      <w:r>
        <w:rPr>
          <w:rFonts w:ascii="PT Astra Serif" w:eastAsia="Times New Roman" w:hAnsi="PT Astra Serif" w:cs="Arial"/>
          <w:b/>
          <w:sz w:val="28"/>
          <w:szCs w:val="28"/>
          <w:u w:val="single"/>
          <w:lang w:eastAsia="ru-RU"/>
        </w:rPr>
        <w:t>что</w:t>
      </w:r>
    </w:p>
    <w:p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sz w:val="28"/>
          <w:szCs w:val="28"/>
          <w:lang w:eastAsia="ru-RU"/>
        </w:rPr>
        <w:t>работа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данном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направлении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рамках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действующего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правового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поля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администрацией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района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будет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proofErr w:type="gramStart"/>
      <w:r>
        <w:rPr>
          <w:rFonts w:ascii="PT Astra Serif" w:eastAsia="Times New Roman" w:hAnsi="PT Astra Serif" w:cs="Arial"/>
          <w:sz w:val="28"/>
          <w:szCs w:val="28"/>
          <w:lang w:eastAsia="ru-RU"/>
        </w:rPr>
        <w:t>продолжаться</w:t>
      </w:r>
      <w:proofErr w:type="gramEnd"/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наращиваться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уже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сейчас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начинаются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подготовительные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мероприятия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,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по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подготовке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к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осенне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>-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зимнему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8"/>
          <w:szCs w:val="28"/>
          <w:lang w:eastAsia="ru-RU"/>
        </w:rPr>
        <w:t>периоду</w:t>
      </w:r>
      <w:r>
        <w:rPr>
          <w:rFonts w:ascii="PT Astra Serif" w:eastAsia="Times New Roman" w:hAnsi="PT Astra Serif" w:cs="Albertus MT"/>
          <w:sz w:val="28"/>
          <w:szCs w:val="28"/>
          <w:lang w:eastAsia="ru-RU"/>
        </w:rPr>
        <w:t>.</w:t>
      </w:r>
    </w:p>
    <w:p>
      <w:pPr>
        <w:spacing w:after="0" w:line="240" w:lineRule="auto"/>
        <w:ind w:firstLine="709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Arial"/>
          <w:b/>
          <w:sz w:val="28"/>
          <w:szCs w:val="28"/>
          <w:u w:val="single"/>
          <w:lang w:eastAsia="ru-RU"/>
        </w:rPr>
        <w:t>Слайд</w:t>
      </w:r>
      <w:r>
        <w:rPr>
          <w:rFonts w:ascii="PT Astra Serif" w:eastAsia="Times New Roman" w:hAnsi="PT Astra Serif" w:cs="Albertus MT"/>
          <w:b/>
          <w:sz w:val="28"/>
          <w:szCs w:val="28"/>
          <w:u w:val="single"/>
          <w:lang w:eastAsia="ru-RU"/>
        </w:rPr>
        <w:t xml:space="preserve"> </w:t>
      </w:r>
      <w:r>
        <w:rPr>
          <w:rFonts w:ascii="PT Astra Serif" w:eastAsia="Times New Roman" w:hAnsi="PT Astra Serif" w:cs="Arial"/>
          <w:b/>
          <w:sz w:val="28"/>
          <w:szCs w:val="28"/>
          <w:u w:val="single"/>
          <w:lang w:eastAsia="ru-RU"/>
        </w:rPr>
        <w:t>№</w:t>
      </w:r>
      <w:r>
        <w:rPr>
          <w:rFonts w:ascii="PT Astra Serif" w:eastAsia="Times New Roman" w:hAnsi="PT Astra Serif" w:cs="Albertus MT"/>
          <w:b/>
          <w:sz w:val="28"/>
          <w:szCs w:val="28"/>
          <w:u w:val="single"/>
          <w:lang w:eastAsia="ru-RU"/>
        </w:rPr>
        <w:t xml:space="preserve"> 3</w:t>
      </w:r>
      <w:r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  <w:t>2</w:t>
      </w:r>
    </w:p>
    <w:p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sz w:val="28"/>
          <w:szCs w:val="28"/>
          <w:lang w:eastAsia="ru-RU"/>
        </w:rPr>
        <w:t>Доклад</w:t>
      </w:r>
      <w:r>
        <w:rPr>
          <w:rFonts w:ascii="PT Astra Serif" w:eastAsia="Times New Roman" w:hAnsi="PT Astra Serif" w:cs="Albertus MT"/>
          <w:b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b/>
          <w:sz w:val="28"/>
          <w:szCs w:val="28"/>
          <w:lang w:eastAsia="ru-RU"/>
        </w:rPr>
        <w:t>закончен</w:t>
      </w:r>
      <w:r>
        <w:rPr>
          <w:rFonts w:ascii="PT Astra Serif" w:eastAsia="Times New Roman" w:hAnsi="PT Astra Serif" w:cs="Albertus MT"/>
          <w:b/>
          <w:sz w:val="28"/>
          <w:szCs w:val="28"/>
          <w:lang w:eastAsia="ru-RU"/>
        </w:rPr>
        <w:t>.</w:t>
      </w:r>
    </w:p>
    <w:p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sz w:val="28"/>
          <w:szCs w:val="28"/>
          <w:lang w:eastAsia="ru-RU"/>
        </w:rPr>
        <w:t>Спасибо</w:t>
      </w:r>
      <w:r>
        <w:rPr>
          <w:rFonts w:ascii="PT Astra Serif" w:eastAsia="Times New Roman" w:hAnsi="PT Astra Serif" w:cs="Albertus MT"/>
          <w:b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b/>
          <w:sz w:val="28"/>
          <w:szCs w:val="28"/>
          <w:lang w:eastAsia="ru-RU"/>
        </w:rPr>
        <w:t>за</w:t>
      </w:r>
      <w:r>
        <w:rPr>
          <w:rFonts w:ascii="PT Astra Serif" w:eastAsia="Times New Roman" w:hAnsi="PT Astra Serif" w:cs="Albertus MT"/>
          <w:b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b/>
          <w:sz w:val="28"/>
          <w:szCs w:val="28"/>
          <w:lang w:eastAsia="ru-RU"/>
        </w:rPr>
        <w:t>внимание</w:t>
      </w:r>
      <w:r>
        <w:rPr>
          <w:rFonts w:ascii="PT Astra Serif" w:eastAsia="Times New Roman" w:hAnsi="PT Astra Serif" w:cs="Albertus MT"/>
          <w:b/>
          <w:sz w:val="28"/>
          <w:szCs w:val="28"/>
          <w:lang w:eastAsia="ru-RU"/>
        </w:rPr>
        <w:t>!</w:t>
      </w:r>
    </w:p>
    <w:p>
      <w:pPr>
        <w:rPr>
          <w:rFonts w:ascii="Times New Roman" w:hAnsi="Times New Roman" w:cs="Times New Roman"/>
          <w:sz w:val="36"/>
          <w:szCs w:val="36"/>
        </w:rPr>
      </w:pPr>
    </w:p>
    <w:sectPr>
      <w:pgSz w:w="11906" w:h="16838"/>
      <w:pgMar w:top="709" w:right="707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lbertus MT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mailMerge>
    <w:mainDocumentType w:val="envelopes"/>
    <w:dataType w:val="textFile"/>
    <w:activeRecord w:val="-1"/>
  </w:mailMerge>
  <w:defaultTabStop w:val="708"/>
  <w:characterSpacingControl w:val="doNotCompress"/>
  <w:compat/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7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4</Pages>
  <Words>1359</Words>
  <Characters>7749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</dc:creator>
  <cp:keywords/>
  <dc:description/>
  <cp:lastModifiedBy>User</cp:lastModifiedBy>
  <cp:revision>41</cp:revision>
  <cp:lastPrinted>2022-10-11T06:13:00Z</cp:lastPrinted>
  <dcterms:created xsi:type="dcterms:W3CDTF">2021-09-20T05:29:00Z</dcterms:created>
  <dcterms:modified xsi:type="dcterms:W3CDTF">2023-09-15T07:21:00Z</dcterms:modified>
</cp:coreProperties>
</file>