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0F" w:rsidRPr="00167E0F" w:rsidRDefault="00167E0F" w:rsidP="00167E0F">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Деятельность управления опеки и попечительства по профилактической работе с семьями, в которых родители  создают условия, представляющие угрозу жизни или здоровью детей либо препятствующие их нормальному воспитанию и развитию" w:history="1">
        <w:r w:rsidRPr="00167E0F">
          <w:rPr>
            <w:rFonts w:ascii="Verdana" w:eastAsia="Times New Roman" w:hAnsi="Verdana" w:cs="Times New Roman"/>
            <w:b/>
            <w:bCs/>
            <w:color w:val="000000"/>
            <w:spacing w:val="-10"/>
            <w:sz w:val="18"/>
            <w:szCs w:val="18"/>
          </w:rPr>
          <w:br/>
        </w:r>
        <w:r w:rsidRPr="00167E0F">
          <w:rPr>
            <w:rFonts w:ascii="Verdana" w:eastAsia="Times New Roman" w:hAnsi="Verdana" w:cs="Times New Roman"/>
            <w:b/>
            <w:bCs/>
            <w:color w:val="000000"/>
            <w:spacing w:val="-10"/>
            <w:sz w:val="18"/>
          </w:rPr>
          <w:t>Деятельность управления опеки и попечительства по профилактической работе с семьями, в которых родители создают условия, представляющие угрозу жизни или здоровью детей либо препятствующие их нормальному воспитанию и развитию</w:t>
        </w:r>
      </w:hyperlink>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Детское население Балаковского муниципального района по состоянию на 1 января 2012 года составляет 37 336 детей в возрасте от рождения до 18 лет, 610 из них дети-сироты и дети, оставшиеся без попечения родителей (1,6 %).</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В Балаковском муниципальном районе полномочия по опеке и попечительству в отношении несовершеннолетних граждан исполняют 16 сотрудников управления опеки и попечительства администрации Балаковского муниципального района (далее – управление опеки и попечительства).</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Статьей 121 Семейного кодекса Российской Федерации на органы опеки и попечительства возложена обязанность защищать права и интересы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То есть органы опеки и попечительства обязаны осуществлять профилактическую и реабилитационную работу с семьями, находящимися в трудной жизненной ситуации, социально опасном положении.</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Управление опеки и попечительства осуществляет работу с семьями, находящимися в трудной жизненной ситуации, в социально опасном положении, в соответствии с 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социально опасном положении, трудной жизненной ситуации, утвержденным в 2011 году заместителем Председателя Правительства, председателем межведомственной комиссии по делам несовершеннолетних и защите их прав Саратовской области (далее – порядок взаимодействия). Очень важно, что порядок взаимодействия предусматривает работу не только с семьями, находящимися в социально опасном положении, но и с семьями, находящимися в трудной жизненной ситуации, так как существующая на сегодняшний день система социальной защиты детей направлена в основном на помощь детям, уже оставшимся без попечения родителей, а не на профилактику кризиса семьи и социального сиротства. Большинство выявлений происходит очень поздно. На этой стадии у детей имеются многочисленные проблемы в развитии, здоровье, образовании и воспитании, шансы на сохранение кровных семей или, в случае, когда это невозможно, на успешное устройство в принимающие семьи снижаются.</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В Балаковском муниципальном районе органами и учреждениями системы профилактики безнадзорности и правонарушений несовершеннолетних выявляется в год:</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более 90 детей-сирот и детей, оставшихся без попечения родителей (2009 год – 119 детей, 2010 год – 117 детей, 2011 год – 91 ребенок). Впервые, за последние годы число выявленных детей, оставшихся без попечения родителей, сократилось по сравнению с предыдущими годами. При этом 80% из первично выявленных детей, оставшихся без попечения родителей - это так называемые «социальные сироты», оставшиеся без родительского попечения по «социальным» причинам (нарушение прав ребенка, выражающееся в действиях родителей насильственного характера, а также в пренебрежении нуждами ребенка, уклонении от исполнения родительских обязанностей,  злоупотребление алкоголем, наркомания, длительная бедность и социальная исключенность. Причинами социального сиротства также являются недостаточное развитие системы услуг и неэффективная поддержка семей с детьми. Немалый вклад в социальное сиротство вносит кризис института семьи – семьи россиян часто распадаются, большое число детей воспитывается одинокими матерями);</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более 600  семей, находящихся в трудной жизненной ситуации (2009 год – 816 семей (из них 274 семьи группы риска), 2010 год – 636 семей (из них 296 семьи группы риска), 2011 год – 623 семей (из них 350 семьи группы риска)),</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более 80 семей, находящихся в социально опасном положении (2009 год – 125 семей, 2010 год – 89 семей, 2011 год – 109 семей).</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xml:space="preserve">Дети, оставшиеся без попечения родителей – наиболее незащищенная категория лиц, поскольку они не способны самостоятельно в полной мере защищать свои права и интересы, а малолетние </w:t>
      </w:r>
      <w:r w:rsidRPr="00167E0F">
        <w:rPr>
          <w:rFonts w:ascii="Verdana" w:eastAsia="Times New Roman" w:hAnsi="Verdana" w:cs="Times New Roman"/>
          <w:color w:val="000000"/>
          <w:sz w:val="17"/>
          <w:szCs w:val="17"/>
        </w:rPr>
        <w:lastRenderedPageBreak/>
        <w:t>зачастую объективно неспособны принять меры к самосохранению (в силу возрастных особенностей или недостающих физических возможностей). В связи с этим, одной из важнейших задач учреждений, входящих в систему профилактики сиротства, является раннее выявление социального неблагополучия в семье, а также своевременное выявление детей-сирот и детей, оставшихся без попечения родителей. Своевременное выявление и учет детей, попавших в трудную жизненную ситуацию, утративших по тем или иным причинам родительское попечение, является необходимым условием оказания им соответствующей помощи.  Для своевременного выявления и учета детей, попавших в трудную жизненную ситуацию, оставшихся без попечения родителей, орган опеки и попечительства должен располагать полной и достоверной информацией, которой, в свою очередь, могут располагать разные учреждения и организации. Главным образом, такими сведениями располагают образовательные учреждения, которые посещают несовершеннолетние, учреждения здравоохранения, в которых наблюдаются и получают лечение несовершеннолетние и их родители.</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В соответствии с пунктом 1 статьи 122 Семейного Кодекса Российской Федерации должностные лица учреждений (дошкольных образовательных, общеобразовательных, лечебных и других учреждений) обязаны немедленно сообщать о ставших им известными случаях утраты детьми родительского попечения в орган опеки и попечительства по месту фактического нахождения детей. О фактах утраты детьми родительского попечения может стать известно любому гражданину и не обязательно в связи с исполнением служебных обязанностей (например, соседи, знакомые, родители одноклассников). Однако далеко не все из них информированы о необходимости передачи сведений о подобных фактах в органы опеки и попечительства. Таким образом, обязанность сообщать в орган опеки и попечительства о факте утраты детьми родительского попечения возлагается законом на всех без исключения лиц, располагающих соответствующими сведениями (независимо от должностного положения, рода деятельности и источника информации).</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Практика показывает, что управление опеки и попечительства не всегда обладает достоверной информацией о детях, находящихся в трудной жизненной ситуации, социально опасном положении, оставшихся без попечения родителей, и не может своевременно принять меры по защите их прав и интересов по следующим причинам:</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несвоевременное сообщение должностными лицами учреждений и гражданами в орган опеки и попечительства о несовершеннолетних, находящихся в социально опасном положении и оставшихся без попечения родителей (как правило, учреждения боятся «запятнать» свою репутацию, а родственники не сообщают, так как надеются на исправление ситуации в лучшую сторону либо на самопроизвольное разрешение ситуации);</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отсутствие контакта родителей с представителями служб системы профилактики безнадзорности и правонарушений несовершеннолетних, в том числе органа опеки и попечительства, по социальной адаптации (необходимо добровольное участие самих родителей в мероприятиях, направленных на профилактику, на коррекцию детско-родительских отношений и исполнения родительских обязанностей);</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отсутствие предварительной работы образовательных учреждений, учреждений социального обслуживания с семьями по вопросам профилактики социального сиротства, надлежащего исполнения родительских обязанностей (организация информационно-просветительской и реабилитационной работы с родителями, направленной на повышение их сознательности, компетентности, оказания им соответствующей психологической, педагогической, социальной, медицинской, правовой помощи; проведение лекций по просвещению в области семейного законодательства, проведение обследования условий жизни семей всех учащихся образовательных учреждений. Мероприятия, связанные с организацией родительского всеобуча могут проводиться в рамках родительских собраний, горячих линий, посредством размещения соответствующих материалов в СМИ, интернет и проведения различных интерактивных мероприятий);</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предоставление в органы опеки и попечительства от служб системы профилактики неполной информации о законных представителях (местонахождении законного представителя и т.д.), имеют место случаи, когда профилактическая работа проводится с одним из родителей несовершеннолетнего (при подготовке материалов на лишение родительских прав выясняется, что у несовершеннолетнего есть второй родитель, с которым профилактические мероприятия не проводились);</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специалистами служб системы профилактики предоставляются документы, оформленные ненадлежащим образом (содержание акта обследования жилищно-бытовых условий семьи противоречит выводу; в документах отсутствуют основания для лишения или ограничения родительских прав в соответствии со статьями 69, 71 Семейного кодекса Российской Федерации, при этом предоставляются ходатайства на лишение родительских прав);</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lastRenderedPageBreak/>
        <w:t>- межведомственные программы реабилитации семей, находящихся в социально-опасном положении, выполняются не в полном объеме.</w:t>
      </w:r>
    </w:p>
    <w:p w:rsidR="00167E0F" w:rsidRPr="00167E0F" w:rsidRDefault="00167E0F" w:rsidP="00167E0F">
      <w:pPr>
        <w:spacing w:after="0"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В случаях, когда работа с семьями (а именно, социальная и психолого-педагогическая реабилитация семьи, применение органом опеки и попечительства административных мер воздействия к родителям, не исполняющим обязанностей по содержанию и воспитанию детей, предусмотренных семейным, уголовным законодательством, законодательством об административных правонарушениях) не дает положительного результата, ведется сбор документов на лишение (ограничение) родительских прав. В основном сбором документов и направлением материалов в суд занимаются управление опеки и попечительства и законные представители несовершеннолетних (опекуны (попечители), родители), единичные случаи – прокуратура. ГБУ СО «Балаковский центр социальной помощи семье и детям «Семья» и образовательные учреждения не реализуют свое право обращения в суд с исковыми заявлениями о лишении (ограничении) родительских прав с целью защиты прав несовершеннолетних. Однако, стоит отметить, что обращение в суд с заявлением о лишении родительских прав – право, но не обязанность органа опеки и попечительства. В соответствии с пунктом 1 статьи 70 Семейного кодекса Российской Федерации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 В связи с этим, никто не вправе обязать орган опеки и попечительства</w:t>
      </w:r>
      <w:r w:rsidRPr="00167E0F">
        <w:rPr>
          <w:rFonts w:ascii="Verdana" w:eastAsia="Times New Roman" w:hAnsi="Verdana" w:cs="Times New Roman"/>
          <w:color w:val="000000"/>
          <w:sz w:val="17"/>
        </w:rPr>
        <w:t> </w:t>
      </w:r>
      <w:r w:rsidRPr="00167E0F">
        <w:rPr>
          <w:rFonts w:ascii="Verdana" w:eastAsia="Times New Roman" w:hAnsi="Verdana" w:cs="Times New Roman"/>
          <w:i/>
          <w:iCs/>
          <w:color w:val="000000"/>
          <w:sz w:val="17"/>
        </w:rPr>
        <w:t>(в том числе и прокуратура)</w:t>
      </w:r>
      <w:r w:rsidRPr="00167E0F">
        <w:rPr>
          <w:rFonts w:ascii="Verdana" w:eastAsia="Times New Roman" w:hAnsi="Verdana" w:cs="Times New Roman"/>
          <w:color w:val="000000"/>
          <w:sz w:val="17"/>
        </w:rPr>
        <w:t> </w:t>
      </w:r>
      <w:r w:rsidRPr="00167E0F">
        <w:rPr>
          <w:rFonts w:ascii="Verdana" w:eastAsia="Times New Roman" w:hAnsi="Verdana" w:cs="Times New Roman"/>
          <w:color w:val="000000"/>
          <w:sz w:val="17"/>
          <w:szCs w:val="17"/>
        </w:rPr>
        <w:t>подать в суд иск о лишении родительских прав.</w:t>
      </w:r>
    </w:p>
    <w:p w:rsidR="00167E0F" w:rsidRPr="00167E0F" w:rsidRDefault="00167E0F" w:rsidP="00167E0F">
      <w:pPr>
        <w:spacing w:after="45" w:line="248" w:lineRule="atLeast"/>
        <w:ind w:firstLine="300"/>
        <w:jc w:val="center"/>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w:t>
      </w:r>
    </w:p>
    <w:p w:rsidR="00167E0F" w:rsidRPr="00167E0F" w:rsidRDefault="00167E0F" w:rsidP="00167E0F">
      <w:pPr>
        <w:spacing w:after="45" w:line="248" w:lineRule="atLeast"/>
        <w:ind w:firstLine="300"/>
        <w:jc w:val="center"/>
        <w:rPr>
          <w:rFonts w:ascii="Verdana" w:eastAsia="Times New Roman" w:hAnsi="Verdana" w:cs="Times New Roman"/>
          <w:color w:val="000000"/>
          <w:sz w:val="17"/>
          <w:szCs w:val="17"/>
        </w:rPr>
      </w:pPr>
      <w:r w:rsidRPr="00167E0F">
        <w:rPr>
          <w:rFonts w:ascii="Verdana" w:eastAsia="Times New Roman" w:hAnsi="Verdana" w:cs="Times New Roman"/>
          <w:b/>
          <w:bCs/>
          <w:color w:val="000000"/>
          <w:sz w:val="17"/>
        </w:rPr>
        <w:t>Лишение (ограничение) родителей родительских прав</w:t>
      </w:r>
    </w:p>
    <w:p w:rsidR="00167E0F" w:rsidRPr="00167E0F" w:rsidRDefault="00167E0F" w:rsidP="00167E0F">
      <w:pPr>
        <w:spacing w:after="45" w:line="248" w:lineRule="atLeast"/>
        <w:ind w:firstLine="300"/>
        <w:jc w:val="center"/>
        <w:rPr>
          <w:rFonts w:ascii="Verdana" w:eastAsia="Times New Roman" w:hAnsi="Verdana" w:cs="Times New Roman"/>
          <w:color w:val="000000"/>
          <w:sz w:val="17"/>
          <w:szCs w:val="17"/>
        </w:rPr>
      </w:pPr>
      <w:r w:rsidRPr="00167E0F">
        <w:rPr>
          <w:rFonts w:ascii="Verdana" w:eastAsia="Times New Roman" w:hAnsi="Verdana" w:cs="Times New Roman"/>
          <w:b/>
          <w:bCs/>
          <w:color w:val="000000"/>
          <w:sz w:val="17"/>
        </w:rPr>
        <w:t>на территории Балаковского муниципального района в 2009 - 2011 г.г.</w:t>
      </w:r>
    </w:p>
    <w:tbl>
      <w:tblPr>
        <w:tblW w:w="5000" w:type="pct"/>
        <w:tblCellMar>
          <w:left w:w="0" w:type="dxa"/>
          <w:right w:w="0" w:type="dxa"/>
        </w:tblCellMar>
        <w:tblLook w:val="04A0"/>
      </w:tblPr>
      <w:tblGrid>
        <w:gridCol w:w="861"/>
        <w:gridCol w:w="2170"/>
        <w:gridCol w:w="2188"/>
        <w:gridCol w:w="2188"/>
        <w:gridCol w:w="2188"/>
      </w:tblGrid>
      <w:tr w:rsidR="00167E0F" w:rsidRPr="00167E0F" w:rsidTr="00167E0F">
        <w:tc>
          <w:tcPr>
            <w:tcW w:w="72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0" w:line="240" w:lineRule="auto"/>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Год</w:t>
            </w:r>
          </w:p>
        </w:tc>
        <w:tc>
          <w:tcPr>
            <w:tcW w:w="1815"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0" w:line="240" w:lineRule="auto"/>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Число выявленных детей, оставшихся без попечения родителей</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0" w:line="240" w:lineRule="auto"/>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Число детей, родители которых ограничены в родительских правах</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0" w:line="240" w:lineRule="auto"/>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Число детей, родители которых</w:t>
            </w:r>
          </w:p>
          <w:p w:rsidR="00167E0F" w:rsidRPr="00167E0F" w:rsidRDefault="00167E0F" w:rsidP="00167E0F">
            <w:pPr>
              <w:spacing w:after="0" w:line="240" w:lineRule="auto"/>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лишены родительских прав</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0" w:line="240" w:lineRule="auto"/>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Число детей,</w:t>
            </w:r>
          </w:p>
          <w:p w:rsidR="00167E0F" w:rsidRPr="00167E0F" w:rsidRDefault="00167E0F" w:rsidP="00167E0F">
            <w:pPr>
              <w:spacing w:after="0" w:line="240" w:lineRule="auto"/>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у которых оба родителя лишены родительских прав</w:t>
            </w:r>
          </w:p>
        </w:tc>
      </w:tr>
      <w:tr w:rsidR="00167E0F" w:rsidRPr="00167E0F" w:rsidTr="00167E0F">
        <w:tc>
          <w:tcPr>
            <w:tcW w:w="72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2009</w:t>
            </w:r>
          </w:p>
        </w:tc>
        <w:tc>
          <w:tcPr>
            <w:tcW w:w="1815"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119</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4</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62</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37</w:t>
            </w:r>
          </w:p>
        </w:tc>
      </w:tr>
      <w:tr w:rsidR="00167E0F" w:rsidRPr="00167E0F" w:rsidTr="00167E0F">
        <w:tc>
          <w:tcPr>
            <w:tcW w:w="72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2010</w:t>
            </w:r>
          </w:p>
        </w:tc>
        <w:tc>
          <w:tcPr>
            <w:tcW w:w="1815"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117</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5</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59</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38</w:t>
            </w:r>
          </w:p>
        </w:tc>
      </w:tr>
      <w:tr w:rsidR="00167E0F" w:rsidRPr="00167E0F" w:rsidTr="00167E0F">
        <w:tc>
          <w:tcPr>
            <w:tcW w:w="72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2011</w:t>
            </w:r>
          </w:p>
        </w:tc>
        <w:tc>
          <w:tcPr>
            <w:tcW w:w="1815"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91</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5</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78</w:t>
            </w:r>
          </w:p>
        </w:tc>
        <w:tc>
          <w:tcPr>
            <w:tcW w:w="1830" w:type="dxa"/>
            <w:tcBorders>
              <w:bottom w:val="single" w:sz="6" w:space="0" w:color="CCCCCC"/>
            </w:tcBorders>
            <w:tcMar>
              <w:top w:w="90" w:type="dxa"/>
              <w:left w:w="120" w:type="dxa"/>
              <w:bottom w:w="90" w:type="dxa"/>
              <w:right w:w="120" w:type="dxa"/>
            </w:tcMar>
            <w:vAlign w:val="center"/>
            <w:hideMark/>
          </w:tcPr>
          <w:p w:rsidR="00167E0F" w:rsidRPr="00167E0F" w:rsidRDefault="00167E0F" w:rsidP="00167E0F">
            <w:pPr>
              <w:spacing w:after="45" w:line="240" w:lineRule="auto"/>
              <w:ind w:firstLine="300"/>
              <w:jc w:val="center"/>
              <w:rPr>
                <w:rFonts w:ascii="Times New Roman" w:eastAsia="Times New Roman" w:hAnsi="Times New Roman" w:cs="Times New Roman"/>
                <w:sz w:val="17"/>
                <w:szCs w:val="17"/>
              </w:rPr>
            </w:pPr>
            <w:r w:rsidRPr="00167E0F">
              <w:rPr>
                <w:rFonts w:ascii="Times New Roman" w:eastAsia="Times New Roman" w:hAnsi="Times New Roman" w:cs="Times New Roman"/>
                <w:sz w:val="17"/>
                <w:szCs w:val="17"/>
              </w:rPr>
              <w:t>42</w:t>
            </w:r>
          </w:p>
        </w:tc>
      </w:tr>
    </w:tbl>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Из 78 граждан, лишенных родительских прав в 2011 году, 5 граждан были лишены родительских прав в связи с жестоким обращением с детьми.</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Для сокращения численности выявленных детей, оставшихся без попечения родителей, в Балаковском муниципальном районе необходим качественно иной подход к организации профилактики социального сиротства.</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Вопрос о лишении родительских прав должен рассматриваться в качестве крайней меры воздействия на родителей, применяемой только в тех случаях, когда иные меры не дали результата.</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Деятельность органа опеки и попечительства по профилактике социального сиротства должна быть ориентирована на выполнение следующих задач:</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1. Своевременное выявление ребенка, проживающего в семье и находящегося в ситуации, угрожающей его жизни или здоровью, или препятствующей его нормальному воспитанию и развитию.</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проживающих в семье и находящихся в результате действий или бездействия родителей в условиях, представляющих угрозу жизни или здоровью детей либо препятствующих их нормальному воспитанию и развитию, обязаны сообщить об этом в органы опеки и попечительства по месту фактического нахождения ребенка.</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 xml:space="preserve">На основании поступившего сообщения о том, что ребенок нуждается в помощи государства, органом опеки и попечительства в течение 3-х дней с даты поступления информации осуществляется первичное обследование ребенка и семьи с целью проверки поступивших сведений о создании </w:t>
      </w:r>
      <w:r w:rsidRPr="00167E0F">
        <w:rPr>
          <w:rFonts w:ascii="Verdana" w:eastAsia="Times New Roman" w:hAnsi="Verdana" w:cs="Times New Roman"/>
          <w:color w:val="000000"/>
          <w:sz w:val="17"/>
          <w:szCs w:val="17"/>
        </w:rPr>
        <w:lastRenderedPageBreak/>
        <w:t>действиями или бездействием родителей условий, представляющих угрозу жизни или здоровью ребенка, либо препятствующих его нормальному воспитанию и развитию.</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По итогам первичного обследования, в случае отсутствия оснований к немедленному отобранию ребенка, орган опеки и попечительства может принимать решение о проведении дополнительного обследования для решения вопроса о необходимости признания ребенка нуждающимся в помощи государства и выбора формы защиты его прав.</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2. Организация профилактической и реабилитационной работы с ребенком и его семьей на начальной стадии возникновения семейных проблем для предотвращения изъятия ребенка из семьи.</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Основной целью индивидуальной профилактической работы должно стать сохранение семьи, создание условий для воспитания ребенка в родной семье. Достижение указанной цели возможно при условии организации комплексного социально-психологического сопровождения семьи и ребенка для оказания помощи родителям в воспитании ребенка и осуществления эффективного контроля за условиями его жизни и воспитания.</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3. Организация профилактической и реабилитационной работы с ребенком и его семьей после изъятия ребенка из семьи для обеспечения его возврата в родную семью.</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Если по тем или иным причинам ребенок был изъят из семьи на основании статей 69, 73, 77 Семейного кодекса Российской Федерации, органам опеки и попечительства необходимо во всех случаях, когда это возможно, принимать меры, обеспечивающие в дальнейшем возврат ребенка в родную семью. Указанные меры должны включать организацию реабилитационной работы с родителями, в том числе уже лишенными родительских прав или ограниченными в родительских правах, оказание им необходимой помощи с целью воссоединения ребенка с семьей.</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Данное положение в полном объеме соответствует положениям Семейного кодекса Российской Федерации, предусматривающим, с одной стороны, приоритетность воспитания ребенка в родной семье, с другой - возможность восстановления родителей в родительских правах или отмены ограничения родительских прав.</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Все действия по реабилитации ребенка и семьи в целях предупреждения утраты ребенком родительского попечения, создания благоприятных условий для его проживания, воспитания и развития в родной семье, начиная с момента выявления ребенка, проживающего в семье и находящегося в ситуации, угрожающей его жизни или здоровью, или препятствующей его нормальному воспитанию и развитию, должны осуществляться в рамках плана по защите прав ребенка.</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Чрезвычайно важным условием эффективности реализуемых мероприятий является добровольное участие в них самих родителей. В связи с этим органу опеки и попечительства следует проводить с родителями разъяснительную работу, привлекать их, насколько это возможно, к обсуждению семейных проблем и способов их решения, составлению и последующему осуществлению плана совместных действий по нормализации обстановки в семье в интересах ребенка.</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4. Организация информационно-просветительской и реабилитационной работы с родителями (иными законными представителями) детей, направленной на повышение их сознательности, компетентности, оказание им соответствующей психологической, педагогической, социальной, медицинской, правовой помощи.</w:t>
      </w:r>
    </w:p>
    <w:p w:rsidR="00167E0F" w:rsidRPr="00167E0F" w:rsidRDefault="00167E0F" w:rsidP="00167E0F">
      <w:pPr>
        <w:spacing w:after="45" w:line="248" w:lineRule="atLeast"/>
        <w:ind w:firstLine="300"/>
        <w:jc w:val="both"/>
        <w:rPr>
          <w:rFonts w:ascii="Verdana" w:eastAsia="Times New Roman" w:hAnsi="Verdana" w:cs="Times New Roman"/>
          <w:color w:val="000000"/>
          <w:sz w:val="17"/>
          <w:szCs w:val="17"/>
        </w:rPr>
      </w:pPr>
      <w:r w:rsidRPr="00167E0F">
        <w:rPr>
          <w:rFonts w:ascii="Verdana" w:eastAsia="Times New Roman" w:hAnsi="Verdana" w:cs="Times New Roman"/>
          <w:color w:val="000000"/>
          <w:sz w:val="17"/>
          <w:szCs w:val="17"/>
        </w:rPr>
        <w:t>Эффективная работа с семьями, находящимися в трудной жизненной ситуации, в социально опасном положении, возможна только при тесном взаимодействии органов и учреждений системы профилактики безнадзорности и правонарушений несовершеннолетних Балаковского муниципального района в организации индивидуальной профилактической работы с несовершеннолетними и их семьями.</w:t>
      </w:r>
    </w:p>
    <w:p w:rsidR="00A22001" w:rsidRDefault="00A22001"/>
    <w:sectPr w:rsidR="00A22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7E0F"/>
    <w:rsid w:val="00167E0F"/>
    <w:rsid w:val="00A22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7E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7E0F"/>
    <w:rPr>
      <w:rFonts w:ascii="Times New Roman" w:eastAsia="Times New Roman" w:hAnsi="Times New Roman" w:cs="Times New Roman"/>
      <w:b/>
      <w:bCs/>
      <w:sz w:val="27"/>
      <w:szCs w:val="27"/>
    </w:rPr>
  </w:style>
  <w:style w:type="character" w:styleId="a3">
    <w:name w:val="Hyperlink"/>
    <w:basedOn w:val="a0"/>
    <w:uiPriority w:val="99"/>
    <w:semiHidden/>
    <w:unhideWhenUsed/>
    <w:rsid w:val="00167E0F"/>
    <w:rPr>
      <w:color w:val="0000FF"/>
      <w:u w:val="single"/>
    </w:rPr>
  </w:style>
  <w:style w:type="paragraph" w:styleId="a4">
    <w:name w:val="Normal (Web)"/>
    <w:basedOn w:val="a"/>
    <w:uiPriority w:val="99"/>
    <w:semiHidden/>
    <w:unhideWhenUsed/>
    <w:rsid w:val="00167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7E0F"/>
  </w:style>
  <w:style w:type="character" w:styleId="a5">
    <w:name w:val="Emphasis"/>
    <w:basedOn w:val="a0"/>
    <w:uiPriority w:val="20"/>
    <w:qFormat/>
    <w:rsid w:val="00167E0F"/>
    <w:rPr>
      <w:i/>
      <w:iCs/>
    </w:rPr>
  </w:style>
  <w:style w:type="paragraph" w:customStyle="1" w:styleId="rtecenter">
    <w:name w:val="rtecenter"/>
    <w:basedOn w:val="a"/>
    <w:rsid w:val="00167E0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67E0F"/>
    <w:rPr>
      <w:b/>
      <w:bCs/>
    </w:rPr>
  </w:style>
</w:styles>
</file>

<file path=word/webSettings.xml><?xml version="1.0" encoding="utf-8"?>
<w:webSettings xmlns:r="http://schemas.openxmlformats.org/officeDocument/2006/relationships" xmlns:w="http://schemas.openxmlformats.org/wordprocessingml/2006/main">
  <w:divs>
    <w:div w:id="1931574427">
      <w:bodyDiv w:val="1"/>
      <w:marLeft w:val="0"/>
      <w:marRight w:val="0"/>
      <w:marTop w:val="0"/>
      <w:marBottom w:val="0"/>
      <w:divBdr>
        <w:top w:val="none" w:sz="0" w:space="0" w:color="auto"/>
        <w:left w:val="none" w:sz="0" w:space="0" w:color="auto"/>
        <w:bottom w:val="none" w:sz="0" w:space="0" w:color="auto"/>
        <w:right w:val="none" w:sz="0" w:space="0" w:color="auto"/>
      </w:divBdr>
      <w:divsChild>
        <w:div w:id="1243414998">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deyatelnost-upravleniya-opeki-i-popechitelstva-po-profilakticheskoi-rabote-s-semyami-v-kotory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2571</Words>
  <Characters>14661</Characters>
  <Application>Microsoft Office Word</Application>
  <DocSecurity>0</DocSecurity>
  <Lines>122</Lines>
  <Paragraphs>34</Paragraphs>
  <ScaleCrop>false</ScaleCrop>
  <Company>Администрация БМР</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2020-03-03T07:27:00Z</dcterms:created>
  <dcterms:modified xsi:type="dcterms:W3CDTF">2020-03-03T07:27:00Z</dcterms:modified>
</cp:coreProperties>
</file>