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DB" w:rsidRPr="007903DB" w:rsidRDefault="007903DB" w:rsidP="007903DB">
      <w:pPr>
        <w:pBdr>
          <w:bottom w:val="single" w:sz="6" w:space="0" w:color="F2EFE5"/>
        </w:pBdr>
        <w:spacing w:after="0" w:line="198" w:lineRule="atLeast"/>
        <w:ind w:left="675"/>
        <w:jc w:val="both"/>
        <w:outlineLvl w:val="2"/>
        <w:rPr>
          <w:rFonts w:ascii="Verdana" w:eastAsia="Times New Roman" w:hAnsi="Verdana" w:cs="Times New Roman"/>
          <w:b/>
          <w:bCs/>
          <w:color w:val="000000"/>
          <w:spacing w:val="-10"/>
          <w:sz w:val="18"/>
          <w:szCs w:val="18"/>
        </w:rPr>
      </w:pPr>
      <w:hyperlink r:id="rId4" w:tooltip="Отчет управления по делам молодежи, физической культуры, спорта и туризма администрации Балаковского муниципального район за 2011 год" w:history="1">
        <w:r w:rsidRPr="007903DB">
          <w:rPr>
            <w:rFonts w:ascii="Verdana" w:eastAsia="Times New Roman" w:hAnsi="Verdana" w:cs="Times New Roman"/>
            <w:b/>
            <w:bCs/>
            <w:color w:val="000000"/>
            <w:spacing w:val="-10"/>
            <w:sz w:val="18"/>
          </w:rPr>
          <w:t>Отчет управления по делам молодежи, физической культуры, спорта и туризма администрации Балаковского муниципального район за 2011 год</w:t>
        </w:r>
      </w:hyperlink>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Формирование здорового образа жизни – одно из главных направлений в работе управления по делам молодежи, физической культуре, спорту и туризму администрации Балаковского муниципального района.</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В Балаковском муниципальном районе в сфере физической культуры и спорта реализуются муниципальные целевые программы «Развитие физической культуры и спорта Балаковского муниципального района на 2009-2012 годы», спортивно-оздоровительная программа по физическому воспитанию детей старшего и среднего дошкольного возраста «МАУГЛИ» на 2009-2011г.г., в которых предусмотрено увеличение количества детей, учащейся и студенческой молодёжи, занимающейся физической культурой и спортом, улучшение здоровья и физической подготовки населения.</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В 2011 году приняты концепция развития физической культуры и спорта в БМР на 2011-2013г.г. (распоряжение администрации БМР от 6 сентября 2011г. №3397).</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На территории БМР имеется 192 спортсооружения, в том числе 87 спортивных залов, 78 плоскостных спортивных сооружений, 2-25 метровых, 1-50 метровый, 13 школьных бассейна, 3 стадиона с трибунами, 3 лыжные базы, 5 хоккейных коробок, 1 ФОК с ледовой ареной на 1 500 зрительских мест.</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Загруженность спортивных сооружений составляет: МАУ УСК «Альбатрос»: бассейн - 78 % (из них 32% – учащиеся ДЮСШ), МАУ УСК «Форум» - 86% (из них 60 % – учащиеся ДЮСШ), спортивный комплекс «Молодежный» - 40 % (из них 8 % – учащиеся ДЮСШ), стадион «Корд» СДЮСШОР «Балаково» - 300 %.</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В ФОКе с ледовой ареной в секции хоккея с шайбой занимаются 280 спортсменов, работают 5 тренеров – преподавателей. Загруженность составляет 60%, что является хорошим показателем</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На имеющихся спортивных сооружениях 68 226человек занимаются физкультурой и спортом и в группах оздоровительной направленности (что составляет 34 % от числа жителей БМР), что на 3 % больше по сравнению с предыдущим годом. Средний областной показатель - 23 %.</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В рамках развития массовой физической культуры на территории МО г. Балаково работает 16 клубов, в которых функционирует 27 спортивных секций. Количество занимающихся 4 300 человек.</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В Балаковском муниципальном районе 50 общеобразовательных школ, количество занимающихся в школьных спортивных секциях 7 150 человек, что составляет 38,7% от общего количества учащихся.</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В 7 детско-юношеских спортивных школах Балаковского муниципального района, Балаковских филиалах областных спортивных школ занимается 5 454 человека по 25 видам спорта, по сравнению с предыдущим годом количество занимающихся увеличилось на 1,6%.</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Штатных тренеров - преподавателей по видам спорта – 105 человек. С 01 июня и 01октября 2011 году прошла индексация заработной платы на 6,5 % , также планируется с индексация заработной платы на 6% с 01.10.2012 года.</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Детско-юношеские спортивные школы, в том числе олимпийского резерва, являются учреждениями дополнительного образования детей и действуют на основании Федерального закона «Об образовании». Структура системы подготовки спортивного резерва в спортивных школах Балаковского района включает в себя:</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- 6 ДЮСШ, ориентированных на развитие массового спорта, основной задачей которых является формирование устойчивого интереса к занятиям спортом, привлечение детей и подростков к систематическим занятиям физической культурой и спортом, осуществление отбора двигательно-одаренных детей и подростков для спортивной специализации в видах спорта;</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- 1 СДЮШОР по футболу, деятельность которой направлена на подготовку спортсменов высокой квалификации.</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Спортивные школы Балаковского района распределены по ведомственной принадлежности:</w:t>
      </w:r>
    </w:p>
    <w:p w:rsidR="007903DB" w:rsidRPr="007903DB" w:rsidRDefault="007903DB" w:rsidP="007903DB">
      <w:pPr>
        <w:spacing w:after="0"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i/>
          <w:iCs/>
          <w:color w:val="000000"/>
          <w:sz w:val="17"/>
        </w:rPr>
        <w:t>- в ведении органов управления физической культурой и спортом – 5 школ</w:t>
      </w:r>
    </w:p>
    <w:p w:rsidR="007903DB" w:rsidRPr="007903DB" w:rsidRDefault="007903DB" w:rsidP="007903DB">
      <w:pPr>
        <w:spacing w:after="0"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i/>
          <w:iCs/>
          <w:color w:val="000000"/>
          <w:sz w:val="17"/>
        </w:rPr>
        <w:t>- в ведении органов комитета образования – 2 школы.   </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По программе «Маугли» занимаются 750 детей, занятия проходят 2 раза в неделю по 30 минут в 7 детских дошкольных учреждениях.</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Основными задачами программы являются сохранение и укрепление здоровья детей дошкольного возраста, сокращение уровня детской заболеваемости, приобщение детей к регулярным занятиям физической культурой и спортом, развитие детского и юношеского спорта в Балаковском районе.</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 </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b/>
          <w:bCs/>
          <w:color w:val="000000"/>
          <w:sz w:val="17"/>
        </w:rPr>
        <w:lastRenderedPageBreak/>
        <w:t>Основные показатели Балаковского муниципального района в сфере физической культуры и спорта</w:t>
      </w:r>
    </w:p>
    <w:tbl>
      <w:tblPr>
        <w:tblW w:w="9000" w:type="dxa"/>
        <w:tblCellMar>
          <w:left w:w="0" w:type="dxa"/>
          <w:right w:w="0" w:type="dxa"/>
        </w:tblCellMar>
        <w:tblLook w:val="04A0"/>
      </w:tblPr>
      <w:tblGrid>
        <w:gridCol w:w="753"/>
        <w:gridCol w:w="3040"/>
        <w:gridCol w:w="1663"/>
        <w:gridCol w:w="1673"/>
        <w:gridCol w:w="1871"/>
      </w:tblGrid>
      <w:tr w:rsidR="007903DB" w:rsidRPr="007903DB" w:rsidTr="007903DB">
        <w:tc>
          <w:tcPr>
            <w:tcW w:w="795" w:type="dxa"/>
            <w:tcBorders>
              <w:bottom w:val="single" w:sz="6" w:space="0" w:color="CCCCCC"/>
            </w:tcBorders>
            <w:tcMar>
              <w:top w:w="90" w:type="dxa"/>
              <w:left w:w="120" w:type="dxa"/>
              <w:bottom w:w="90" w:type="dxa"/>
              <w:right w:w="120" w:type="dxa"/>
            </w:tcMar>
            <w:vAlign w:val="center"/>
            <w:hideMark/>
          </w:tcPr>
          <w:p w:rsidR="007903DB" w:rsidRPr="007903DB" w:rsidRDefault="007903DB" w:rsidP="007903DB">
            <w:pPr>
              <w:spacing w:after="0" w:line="240" w:lineRule="auto"/>
              <w:rPr>
                <w:rFonts w:ascii="Times New Roman" w:eastAsia="Times New Roman" w:hAnsi="Times New Roman" w:cs="Times New Roman"/>
                <w:sz w:val="17"/>
                <w:szCs w:val="17"/>
              </w:rPr>
            </w:pPr>
            <w:r w:rsidRPr="007903DB">
              <w:rPr>
                <w:rFonts w:ascii="Times New Roman" w:eastAsia="Times New Roman" w:hAnsi="Times New Roman" w:cs="Times New Roman"/>
                <w:sz w:val="17"/>
                <w:szCs w:val="17"/>
              </w:rPr>
              <w:t>№ п/п</w:t>
            </w:r>
          </w:p>
        </w:tc>
        <w:tc>
          <w:tcPr>
            <w:tcW w:w="3285" w:type="dxa"/>
            <w:tcBorders>
              <w:bottom w:val="single" w:sz="6" w:space="0" w:color="CCCCCC"/>
            </w:tcBorders>
            <w:tcMar>
              <w:top w:w="90" w:type="dxa"/>
              <w:left w:w="120" w:type="dxa"/>
              <w:bottom w:w="90" w:type="dxa"/>
              <w:right w:w="120" w:type="dxa"/>
            </w:tcMar>
            <w:vAlign w:val="center"/>
            <w:hideMark/>
          </w:tcPr>
          <w:p w:rsidR="007903DB" w:rsidRPr="007903DB" w:rsidRDefault="007903DB" w:rsidP="007903DB">
            <w:pPr>
              <w:spacing w:after="0" w:line="240" w:lineRule="auto"/>
              <w:rPr>
                <w:rFonts w:ascii="Times New Roman" w:eastAsia="Times New Roman" w:hAnsi="Times New Roman" w:cs="Times New Roman"/>
                <w:sz w:val="17"/>
                <w:szCs w:val="17"/>
              </w:rPr>
            </w:pPr>
            <w:r w:rsidRPr="007903DB">
              <w:rPr>
                <w:rFonts w:ascii="Times New Roman" w:eastAsia="Times New Roman" w:hAnsi="Times New Roman" w:cs="Times New Roman"/>
                <w:sz w:val="17"/>
                <w:szCs w:val="17"/>
              </w:rPr>
              <w:t>Основные показатели</w:t>
            </w:r>
          </w:p>
        </w:tc>
        <w:tc>
          <w:tcPr>
            <w:tcW w:w="1800" w:type="dxa"/>
            <w:tcBorders>
              <w:bottom w:val="single" w:sz="6" w:space="0" w:color="CCCCCC"/>
            </w:tcBorders>
            <w:tcMar>
              <w:top w:w="90" w:type="dxa"/>
              <w:left w:w="120" w:type="dxa"/>
              <w:bottom w:w="90" w:type="dxa"/>
              <w:right w:w="120" w:type="dxa"/>
            </w:tcMar>
            <w:vAlign w:val="center"/>
            <w:hideMark/>
          </w:tcPr>
          <w:p w:rsidR="007903DB" w:rsidRPr="007903DB" w:rsidRDefault="007903DB" w:rsidP="007903DB">
            <w:pPr>
              <w:spacing w:after="0" w:line="240" w:lineRule="auto"/>
              <w:rPr>
                <w:rFonts w:ascii="Times New Roman" w:eastAsia="Times New Roman" w:hAnsi="Times New Roman" w:cs="Times New Roman"/>
                <w:sz w:val="17"/>
                <w:szCs w:val="17"/>
              </w:rPr>
            </w:pPr>
            <w:r w:rsidRPr="007903DB">
              <w:rPr>
                <w:rFonts w:ascii="Times New Roman" w:eastAsia="Times New Roman" w:hAnsi="Times New Roman" w:cs="Times New Roman"/>
                <w:sz w:val="17"/>
                <w:szCs w:val="17"/>
              </w:rPr>
              <w:t>2009 год</w:t>
            </w:r>
          </w:p>
        </w:tc>
        <w:tc>
          <w:tcPr>
            <w:tcW w:w="1800" w:type="dxa"/>
            <w:tcBorders>
              <w:bottom w:val="single" w:sz="6" w:space="0" w:color="CCCCCC"/>
            </w:tcBorders>
            <w:tcMar>
              <w:top w:w="90" w:type="dxa"/>
              <w:left w:w="120" w:type="dxa"/>
              <w:bottom w:w="90" w:type="dxa"/>
              <w:right w:w="120" w:type="dxa"/>
            </w:tcMar>
            <w:vAlign w:val="center"/>
            <w:hideMark/>
          </w:tcPr>
          <w:p w:rsidR="007903DB" w:rsidRPr="007903DB" w:rsidRDefault="007903DB" w:rsidP="007903DB">
            <w:pPr>
              <w:spacing w:after="0" w:line="240" w:lineRule="auto"/>
              <w:rPr>
                <w:rFonts w:ascii="Times New Roman" w:eastAsia="Times New Roman" w:hAnsi="Times New Roman" w:cs="Times New Roman"/>
                <w:sz w:val="17"/>
                <w:szCs w:val="17"/>
              </w:rPr>
            </w:pPr>
            <w:r w:rsidRPr="007903DB">
              <w:rPr>
                <w:rFonts w:ascii="Times New Roman" w:eastAsia="Times New Roman" w:hAnsi="Times New Roman" w:cs="Times New Roman"/>
                <w:sz w:val="17"/>
                <w:szCs w:val="17"/>
              </w:rPr>
              <w:t>2010 год</w:t>
            </w:r>
          </w:p>
        </w:tc>
        <w:tc>
          <w:tcPr>
            <w:tcW w:w="1980" w:type="dxa"/>
            <w:tcBorders>
              <w:bottom w:val="single" w:sz="6" w:space="0" w:color="CCCCCC"/>
            </w:tcBorders>
            <w:tcMar>
              <w:top w:w="90" w:type="dxa"/>
              <w:left w:w="120" w:type="dxa"/>
              <w:bottom w:w="90" w:type="dxa"/>
              <w:right w:w="120" w:type="dxa"/>
            </w:tcMar>
            <w:vAlign w:val="center"/>
            <w:hideMark/>
          </w:tcPr>
          <w:p w:rsidR="007903DB" w:rsidRPr="007903DB" w:rsidRDefault="007903DB" w:rsidP="007903DB">
            <w:pPr>
              <w:spacing w:after="0" w:line="240" w:lineRule="auto"/>
              <w:rPr>
                <w:rFonts w:ascii="Times New Roman" w:eastAsia="Times New Roman" w:hAnsi="Times New Roman" w:cs="Times New Roman"/>
                <w:sz w:val="17"/>
                <w:szCs w:val="17"/>
              </w:rPr>
            </w:pPr>
            <w:r w:rsidRPr="007903DB">
              <w:rPr>
                <w:rFonts w:ascii="Times New Roman" w:eastAsia="Times New Roman" w:hAnsi="Times New Roman" w:cs="Times New Roman"/>
                <w:sz w:val="17"/>
                <w:szCs w:val="17"/>
              </w:rPr>
              <w:t>2011 год</w:t>
            </w:r>
          </w:p>
        </w:tc>
      </w:tr>
      <w:tr w:rsidR="007903DB" w:rsidRPr="007903DB" w:rsidTr="007903DB">
        <w:trPr>
          <w:trHeight w:val="2025"/>
        </w:trPr>
        <w:tc>
          <w:tcPr>
            <w:tcW w:w="795" w:type="dxa"/>
            <w:tcBorders>
              <w:bottom w:val="single" w:sz="6" w:space="0" w:color="CCCCCC"/>
            </w:tcBorders>
            <w:tcMar>
              <w:top w:w="90" w:type="dxa"/>
              <w:left w:w="120" w:type="dxa"/>
              <w:bottom w:w="90" w:type="dxa"/>
              <w:right w:w="120" w:type="dxa"/>
            </w:tcMar>
            <w:vAlign w:val="center"/>
            <w:hideMark/>
          </w:tcPr>
          <w:p w:rsidR="007903DB" w:rsidRPr="007903DB" w:rsidRDefault="007903DB" w:rsidP="007903DB">
            <w:pPr>
              <w:spacing w:after="0" w:line="240" w:lineRule="auto"/>
              <w:rPr>
                <w:rFonts w:ascii="Times New Roman" w:eastAsia="Times New Roman" w:hAnsi="Times New Roman" w:cs="Times New Roman"/>
                <w:sz w:val="17"/>
                <w:szCs w:val="17"/>
              </w:rPr>
            </w:pPr>
            <w:r w:rsidRPr="007903DB">
              <w:rPr>
                <w:rFonts w:ascii="Times New Roman" w:eastAsia="Times New Roman" w:hAnsi="Times New Roman" w:cs="Times New Roman"/>
                <w:sz w:val="17"/>
                <w:szCs w:val="17"/>
              </w:rPr>
              <w:t>1.</w:t>
            </w:r>
          </w:p>
        </w:tc>
        <w:tc>
          <w:tcPr>
            <w:tcW w:w="3285" w:type="dxa"/>
            <w:tcBorders>
              <w:bottom w:val="single" w:sz="6" w:space="0" w:color="CCCCCC"/>
            </w:tcBorders>
            <w:tcMar>
              <w:top w:w="90" w:type="dxa"/>
              <w:left w:w="120" w:type="dxa"/>
              <w:bottom w:w="90" w:type="dxa"/>
              <w:right w:w="120" w:type="dxa"/>
            </w:tcMar>
            <w:vAlign w:val="center"/>
            <w:hideMark/>
          </w:tcPr>
          <w:p w:rsidR="007903DB" w:rsidRPr="007903DB" w:rsidRDefault="007903DB" w:rsidP="007903DB">
            <w:pPr>
              <w:spacing w:after="0" w:line="240" w:lineRule="auto"/>
              <w:rPr>
                <w:rFonts w:ascii="Times New Roman" w:eastAsia="Times New Roman" w:hAnsi="Times New Roman" w:cs="Times New Roman"/>
                <w:sz w:val="17"/>
                <w:szCs w:val="17"/>
              </w:rPr>
            </w:pPr>
            <w:r w:rsidRPr="007903DB">
              <w:rPr>
                <w:rFonts w:ascii="Times New Roman" w:eastAsia="Times New Roman" w:hAnsi="Times New Roman" w:cs="Times New Roman"/>
                <w:sz w:val="17"/>
                <w:szCs w:val="17"/>
              </w:rPr>
              <w:t>Численность занимающихся физической культурой и спортом в секциях и группах по видам спорта, группах ОФП</w:t>
            </w:r>
          </w:p>
        </w:tc>
        <w:tc>
          <w:tcPr>
            <w:tcW w:w="1800" w:type="dxa"/>
            <w:tcBorders>
              <w:bottom w:val="single" w:sz="6" w:space="0" w:color="CCCCCC"/>
            </w:tcBorders>
            <w:tcMar>
              <w:top w:w="90" w:type="dxa"/>
              <w:left w:w="120" w:type="dxa"/>
              <w:bottom w:w="90" w:type="dxa"/>
              <w:right w:w="120" w:type="dxa"/>
            </w:tcMar>
            <w:vAlign w:val="center"/>
            <w:hideMark/>
          </w:tcPr>
          <w:p w:rsidR="007903DB" w:rsidRPr="007903DB" w:rsidRDefault="007903DB" w:rsidP="007903DB">
            <w:pPr>
              <w:spacing w:after="0" w:line="240" w:lineRule="auto"/>
              <w:rPr>
                <w:rFonts w:ascii="Times New Roman" w:eastAsia="Times New Roman" w:hAnsi="Times New Roman" w:cs="Times New Roman"/>
                <w:sz w:val="17"/>
                <w:szCs w:val="17"/>
              </w:rPr>
            </w:pPr>
            <w:r w:rsidRPr="007903DB">
              <w:rPr>
                <w:rFonts w:ascii="Times New Roman" w:eastAsia="Times New Roman" w:hAnsi="Times New Roman" w:cs="Times New Roman"/>
                <w:sz w:val="17"/>
                <w:szCs w:val="17"/>
              </w:rPr>
              <w:t> </w:t>
            </w:r>
          </w:p>
          <w:p w:rsidR="007903DB" w:rsidRPr="007903DB" w:rsidRDefault="007903DB" w:rsidP="007903DB">
            <w:pPr>
              <w:spacing w:after="0" w:line="240" w:lineRule="auto"/>
              <w:rPr>
                <w:rFonts w:ascii="Times New Roman" w:eastAsia="Times New Roman" w:hAnsi="Times New Roman" w:cs="Times New Roman"/>
                <w:sz w:val="17"/>
                <w:szCs w:val="17"/>
              </w:rPr>
            </w:pPr>
            <w:r w:rsidRPr="007903DB">
              <w:rPr>
                <w:rFonts w:ascii="Times New Roman" w:eastAsia="Times New Roman" w:hAnsi="Times New Roman" w:cs="Times New Roman"/>
                <w:sz w:val="17"/>
                <w:szCs w:val="17"/>
              </w:rPr>
              <w:t> </w:t>
            </w:r>
          </w:p>
          <w:p w:rsidR="007903DB" w:rsidRPr="007903DB" w:rsidRDefault="007903DB" w:rsidP="007903DB">
            <w:pPr>
              <w:spacing w:after="0" w:line="240" w:lineRule="auto"/>
              <w:rPr>
                <w:rFonts w:ascii="Times New Roman" w:eastAsia="Times New Roman" w:hAnsi="Times New Roman" w:cs="Times New Roman"/>
                <w:sz w:val="17"/>
                <w:szCs w:val="17"/>
              </w:rPr>
            </w:pPr>
            <w:r w:rsidRPr="007903DB">
              <w:rPr>
                <w:rFonts w:ascii="Times New Roman" w:eastAsia="Times New Roman" w:hAnsi="Times New Roman" w:cs="Times New Roman"/>
                <w:sz w:val="17"/>
                <w:szCs w:val="17"/>
              </w:rPr>
              <w:t>62 197</w:t>
            </w:r>
          </w:p>
          <w:p w:rsidR="007903DB" w:rsidRPr="007903DB" w:rsidRDefault="007903DB" w:rsidP="007903DB">
            <w:pPr>
              <w:spacing w:after="0" w:line="240" w:lineRule="auto"/>
              <w:rPr>
                <w:rFonts w:ascii="Times New Roman" w:eastAsia="Times New Roman" w:hAnsi="Times New Roman" w:cs="Times New Roman"/>
                <w:sz w:val="17"/>
                <w:szCs w:val="17"/>
              </w:rPr>
            </w:pPr>
            <w:r w:rsidRPr="007903DB">
              <w:rPr>
                <w:rFonts w:ascii="Times New Roman" w:eastAsia="Times New Roman" w:hAnsi="Times New Roman" w:cs="Times New Roman"/>
                <w:sz w:val="17"/>
                <w:szCs w:val="17"/>
              </w:rPr>
              <w:t>(28%)</w:t>
            </w:r>
          </w:p>
        </w:tc>
        <w:tc>
          <w:tcPr>
            <w:tcW w:w="1800" w:type="dxa"/>
            <w:tcBorders>
              <w:bottom w:val="single" w:sz="6" w:space="0" w:color="CCCCCC"/>
            </w:tcBorders>
            <w:tcMar>
              <w:top w:w="90" w:type="dxa"/>
              <w:left w:w="120" w:type="dxa"/>
              <w:bottom w:w="90" w:type="dxa"/>
              <w:right w:w="120" w:type="dxa"/>
            </w:tcMar>
            <w:vAlign w:val="center"/>
            <w:hideMark/>
          </w:tcPr>
          <w:p w:rsidR="007903DB" w:rsidRPr="007903DB" w:rsidRDefault="007903DB" w:rsidP="007903DB">
            <w:pPr>
              <w:spacing w:after="0" w:line="240" w:lineRule="auto"/>
              <w:rPr>
                <w:rFonts w:ascii="Times New Roman" w:eastAsia="Times New Roman" w:hAnsi="Times New Roman" w:cs="Times New Roman"/>
                <w:sz w:val="17"/>
                <w:szCs w:val="17"/>
              </w:rPr>
            </w:pPr>
            <w:r w:rsidRPr="007903DB">
              <w:rPr>
                <w:rFonts w:ascii="Times New Roman" w:eastAsia="Times New Roman" w:hAnsi="Times New Roman" w:cs="Times New Roman"/>
                <w:sz w:val="17"/>
                <w:szCs w:val="17"/>
              </w:rPr>
              <w:t> </w:t>
            </w:r>
          </w:p>
          <w:p w:rsidR="007903DB" w:rsidRPr="007903DB" w:rsidRDefault="007903DB" w:rsidP="007903DB">
            <w:pPr>
              <w:spacing w:after="0" w:line="240" w:lineRule="auto"/>
              <w:rPr>
                <w:rFonts w:ascii="Times New Roman" w:eastAsia="Times New Roman" w:hAnsi="Times New Roman" w:cs="Times New Roman"/>
                <w:sz w:val="17"/>
                <w:szCs w:val="17"/>
              </w:rPr>
            </w:pPr>
            <w:r w:rsidRPr="007903DB">
              <w:rPr>
                <w:rFonts w:ascii="Times New Roman" w:eastAsia="Times New Roman" w:hAnsi="Times New Roman" w:cs="Times New Roman"/>
                <w:sz w:val="17"/>
                <w:szCs w:val="17"/>
              </w:rPr>
              <w:t> </w:t>
            </w:r>
          </w:p>
          <w:p w:rsidR="007903DB" w:rsidRPr="007903DB" w:rsidRDefault="007903DB" w:rsidP="007903DB">
            <w:pPr>
              <w:spacing w:after="0" w:line="240" w:lineRule="auto"/>
              <w:rPr>
                <w:rFonts w:ascii="Times New Roman" w:eastAsia="Times New Roman" w:hAnsi="Times New Roman" w:cs="Times New Roman"/>
                <w:sz w:val="17"/>
                <w:szCs w:val="17"/>
              </w:rPr>
            </w:pPr>
            <w:r w:rsidRPr="007903DB">
              <w:rPr>
                <w:rFonts w:ascii="Times New Roman" w:eastAsia="Times New Roman" w:hAnsi="Times New Roman" w:cs="Times New Roman"/>
                <w:sz w:val="17"/>
                <w:szCs w:val="17"/>
              </w:rPr>
              <w:t>65 937</w:t>
            </w:r>
          </w:p>
          <w:p w:rsidR="007903DB" w:rsidRPr="007903DB" w:rsidRDefault="007903DB" w:rsidP="007903DB">
            <w:pPr>
              <w:spacing w:after="0" w:line="240" w:lineRule="auto"/>
              <w:rPr>
                <w:rFonts w:ascii="Times New Roman" w:eastAsia="Times New Roman" w:hAnsi="Times New Roman" w:cs="Times New Roman"/>
                <w:sz w:val="17"/>
                <w:szCs w:val="17"/>
              </w:rPr>
            </w:pPr>
            <w:r w:rsidRPr="007903DB">
              <w:rPr>
                <w:rFonts w:ascii="Times New Roman" w:eastAsia="Times New Roman" w:hAnsi="Times New Roman" w:cs="Times New Roman"/>
                <w:sz w:val="17"/>
                <w:szCs w:val="17"/>
              </w:rPr>
              <w:t>(30,1%)</w:t>
            </w:r>
          </w:p>
        </w:tc>
        <w:tc>
          <w:tcPr>
            <w:tcW w:w="1980" w:type="dxa"/>
            <w:tcBorders>
              <w:bottom w:val="single" w:sz="6" w:space="0" w:color="CCCCCC"/>
            </w:tcBorders>
            <w:tcMar>
              <w:top w:w="90" w:type="dxa"/>
              <w:left w:w="120" w:type="dxa"/>
              <w:bottom w:w="90" w:type="dxa"/>
              <w:right w:w="120" w:type="dxa"/>
            </w:tcMar>
            <w:vAlign w:val="center"/>
            <w:hideMark/>
          </w:tcPr>
          <w:p w:rsidR="007903DB" w:rsidRPr="007903DB" w:rsidRDefault="007903DB" w:rsidP="007903DB">
            <w:pPr>
              <w:spacing w:after="0" w:line="240" w:lineRule="auto"/>
              <w:rPr>
                <w:rFonts w:ascii="Times New Roman" w:eastAsia="Times New Roman" w:hAnsi="Times New Roman" w:cs="Times New Roman"/>
                <w:sz w:val="17"/>
                <w:szCs w:val="17"/>
              </w:rPr>
            </w:pPr>
            <w:r w:rsidRPr="007903DB">
              <w:rPr>
                <w:rFonts w:ascii="Times New Roman" w:eastAsia="Times New Roman" w:hAnsi="Times New Roman" w:cs="Times New Roman"/>
                <w:sz w:val="17"/>
                <w:szCs w:val="17"/>
              </w:rPr>
              <w:t> </w:t>
            </w:r>
          </w:p>
          <w:p w:rsidR="007903DB" w:rsidRPr="007903DB" w:rsidRDefault="007903DB" w:rsidP="007903DB">
            <w:pPr>
              <w:spacing w:after="0" w:line="240" w:lineRule="auto"/>
              <w:rPr>
                <w:rFonts w:ascii="Times New Roman" w:eastAsia="Times New Roman" w:hAnsi="Times New Roman" w:cs="Times New Roman"/>
                <w:sz w:val="17"/>
                <w:szCs w:val="17"/>
              </w:rPr>
            </w:pPr>
            <w:r w:rsidRPr="007903DB">
              <w:rPr>
                <w:rFonts w:ascii="Times New Roman" w:eastAsia="Times New Roman" w:hAnsi="Times New Roman" w:cs="Times New Roman"/>
                <w:sz w:val="17"/>
                <w:szCs w:val="17"/>
              </w:rPr>
              <w:t> </w:t>
            </w:r>
          </w:p>
          <w:p w:rsidR="007903DB" w:rsidRPr="007903DB" w:rsidRDefault="007903DB" w:rsidP="007903DB">
            <w:pPr>
              <w:spacing w:after="0" w:line="240" w:lineRule="auto"/>
              <w:rPr>
                <w:rFonts w:ascii="Times New Roman" w:eastAsia="Times New Roman" w:hAnsi="Times New Roman" w:cs="Times New Roman"/>
                <w:sz w:val="17"/>
                <w:szCs w:val="17"/>
              </w:rPr>
            </w:pPr>
            <w:r w:rsidRPr="007903DB">
              <w:rPr>
                <w:rFonts w:ascii="Times New Roman" w:eastAsia="Times New Roman" w:hAnsi="Times New Roman" w:cs="Times New Roman"/>
                <w:sz w:val="17"/>
                <w:szCs w:val="17"/>
              </w:rPr>
              <w:t>68 226</w:t>
            </w:r>
          </w:p>
          <w:p w:rsidR="007903DB" w:rsidRPr="007903DB" w:rsidRDefault="007903DB" w:rsidP="007903DB">
            <w:pPr>
              <w:spacing w:after="0" w:line="240" w:lineRule="auto"/>
              <w:rPr>
                <w:rFonts w:ascii="Times New Roman" w:eastAsia="Times New Roman" w:hAnsi="Times New Roman" w:cs="Times New Roman"/>
                <w:sz w:val="17"/>
                <w:szCs w:val="17"/>
              </w:rPr>
            </w:pPr>
            <w:r w:rsidRPr="007903DB">
              <w:rPr>
                <w:rFonts w:ascii="Times New Roman" w:eastAsia="Times New Roman" w:hAnsi="Times New Roman" w:cs="Times New Roman"/>
                <w:sz w:val="17"/>
                <w:szCs w:val="17"/>
              </w:rPr>
              <w:t>(31,2%)</w:t>
            </w:r>
          </w:p>
          <w:p w:rsidR="007903DB" w:rsidRPr="007903DB" w:rsidRDefault="007903DB" w:rsidP="007903DB">
            <w:pPr>
              <w:spacing w:after="0" w:line="240" w:lineRule="auto"/>
              <w:rPr>
                <w:rFonts w:ascii="Times New Roman" w:eastAsia="Times New Roman" w:hAnsi="Times New Roman" w:cs="Times New Roman"/>
                <w:sz w:val="17"/>
                <w:szCs w:val="17"/>
              </w:rPr>
            </w:pPr>
            <w:r w:rsidRPr="007903DB">
              <w:rPr>
                <w:rFonts w:ascii="Times New Roman" w:eastAsia="Times New Roman" w:hAnsi="Times New Roman" w:cs="Times New Roman"/>
                <w:sz w:val="17"/>
                <w:szCs w:val="17"/>
              </w:rPr>
              <w:t>Увеличение на 1,1%</w:t>
            </w:r>
          </w:p>
        </w:tc>
      </w:tr>
      <w:tr w:rsidR="007903DB" w:rsidRPr="007903DB" w:rsidTr="007903DB">
        <w:tc>
          <w:tcPr>
            <w:tcW w:w="795" w:type="dxa"/>
            <w:tcBorders>
              <w:bottom w:val="single" w:sz="6" w:space="0" w:color="CCCCCC"/>
            </w:tcBorders>
            <w:tcMar>
              <w:top w:w="90" w:type="dxa"/>
              <w:left w:w="120" w:type="dxa"/>
              <w:bottom w:w="90" w:type="dxa"/>
              <w:right w:w="120" w:type="dxa"/>
            </w:tcMar>
            <w:vAlign w:val="center"/>
            <w:hideMark/>
          </w:tcPr>
          <w:p w:rsidR="007903DB" w:rsidRPr="007903DB" w:rsidRDefault="007903DB" w:rsidP="007903DB">
            <w:pPr>
              <w:spacing w:after="0" w:line="240" w:lineRule="auto"/>
              <w:rPr>
                <w:rFonts w:ascii="Times New Roman" w:eastAsia="Times New Roman" w:hAnsi="Times New Roman" w:cs="Times New Roman"/>
                <w:sz w:val="17"/>
                <w:szCs w:val="17"/>
              </w:rPr>
            </w:pPr>
            <w:r w:rsidRPr="007903DB">
              <w:rPr>
                <w:rFonts w:ascii="Times New Roman" w:eastAsia="Times New Roman" w:hAnsi="Times New Roman" w:cs="Times New Roman"/>
                <w:sz w:val="17"/>
                <w:szCs w:val="17"/>
              </w:rPr>
              <w:t>2.</w:t>
            </w:r>
          </w:p>
        </w:tc>
        <w:tc>
          <w:tcPr>
            <w:tcW w:w="3285" w:type="dxa"/>
            <w:tcBorders>
              <w:bottom w:val="single" w:sz="6" w:space="0" w:color="CCCCCC"/>
            </w:tcBorders>
            <w:tcMar>
              <w:top w:w="90" w:type="dxa"/>
              <w:left w:w="120" w:type="dxa"/>
              <w:bottom w:w="90" w:type="dxa"/>
              <w:right w:w="120" w:type="dxa"/>
            </w:tcMar>
            <w:vAlign w:val="center"/>
            <w:hideMark/>
          </w:tcPr>
          <w:p w:rsidR="007903DB" w:rsidRPr="007903DB" w:rsidRDefault="007903DB" w:rsidP="007903DB">
            <w:pPr>
              <w:spacing w:after="0" w:line="240" w:lineRule="auto"/>
              <w:rPr>
                <w:rFonts w:ascii="Times New Roman" w:eastAsia="Times New Roman" w:hAnsi="Times New Roman" w:cs="Times New Roman"/>
                <w:sz w:val="17"/>
                <w:szCs w:val="17"/>
              </w:rPr>
            </w:pPr>
            <w:r w:rsidRPr="007903DB">
              <w:rPr>
                <w:rFonts w:ascii="Times New Roman" w:eastAsia="Times New Roman" w:hAnsi="Times New Roman" w:cs="Times New Roman"/>
                <w:sz w:val="17"/>
                <w:szCs w:val="17"/>
              </w:rPr>
              <w:t>Число занимающихся в спортивных школах</w:t>
            </w:r>
          </w:p>
        </w:tc>
        <w:tc>
          <w:tcPr>
            <w:tcW w:w="1800" w:type="dxa"/>
            <w:tcBorders>
              <w:bottom w:val="single" w:sz="6" w:space="0" w:color="CCCCCC"/>
            </w:tcBorders>
            <w:tcMar>
              <w:top w:w="90" w:type="dxa"/>
              <w:left w:w="120" w:type="dxa"/>
              <w:bottom w:w="90" w:type="dxa"/>
              <w:right w:w="120" w:type="dxa"/>
            </w:tcMar>
            <w:vAlign w:val="center"/>
            <w:hideMark/>
          </w:tcPr>
          <w:p w:rsidR="007903DB" w:rsidRPr="007903DB" w:rsidRDefault="007903DB" w:rsidP="007903DB">
            <w:pPr>
              <w:spacing w:after="0" w:line="240" w:lineRule="auto"/>
              <w:rPr>
                <w:rFonts w:ascii="Times New Roman" w:eastAsia="Times New Roman" w:hAnsi="Times New Roman" w:cs="Times New Roman"/>
                <w:sz w:val="17"/>
                <w:szCs w:val="17"/>
              </w:rPr>
            </w:pPr>
            <w:r w:rsidRPr="007903DB">
              <w:rPr>
                <w:rFonts w:ascii="Times New Roman" w:eastAsia="Times New Roman" w:hAnsi="Times New Roman" w:cs="Times New Roman"/>
                <w:sz w:val="17"/>
                <w:szCs w:val="17"/>
              </w:rPr>
              <w:t>5 304</w:t>
            </w:r>
          </w:p>
        </w:tc>
        <w:tc>
          <w:tcPr>
            <w:tcW w:w="1800" w:type="dxa"/>
            <w:tcBorders>
              <w:bottom w:val="single" w:sz="6" w:space="0" w:color="CCCCCC"/>
            </w:tcBorders>
            <w:tcMar>
              <w:top w:w="90" w:type="dxa"/>
              <w:left w:w="120" w:type="dxa"/>
              <w:bottom w:w="90" w:type="dxa"/>
              <w:right w:w="120" w:type="dxa"/>
            </w:tcMar>
            <w:vAlign w:val="center"/>
            <w:hideMark/>
          </w:tcPr>
          <w:p w:rsidR="007903DB" w:rsidRPr="007903DB" w:rsidRDefault="007903DB" w:rsidP="007903DB">
            <w:pPr>
              <w:spacing w:after="0" w:line="240" w:lineRule="auto"/>
              <w:rPr>
                <w:rFonts w:ascii="Times New Roman" w:eastAsia="Times New Roman" w:hAnsi="Times New Roman" w:cs="Times New Roman"/>
                <w:sz w:val="17"/>
                <w:szCs w:val="17"/>
              </w:rPr>
            </w:pPr>
            <w:r w:rsidRPr="007903DB">
              <w:rPr>
                <w:rFonts w:ascii="Times New Roman" w:eastAsia="Times New Roman" w:hAnsi="Times New Roman" w:cs="Times New Roman"/>
                <w:sz w:val="17"/>
                <w:szCs w:val="17"/>
              </w:rPr>
              <w:t>5 365</w:t>
            </w:r>
          </w:p>
        </w:tc>
        <w:tc>
          <w:tcPr>
            <w:tcW w:w="1980" w:type="dxa"/>
            <w:tcBorders>
              <w:bottom w:val="single" w:sz="6" w:space="0" w:color="CCCCCC"/>
            </w:tcBorders>
            <w:tcMar>
              <w:top w:w="90" w:type="dxa"/>
              <w:left w:w="120" w:type="dxa"/>
              <w:bottom w:w="90" w:type="dxa"/>
              <w:right w:w="120" w:type="dxa"/>
            </w:tcMar>
            <w:vAlign w:val="center"/>
            <w:hideMark/>
          </w:tcPr>
          <w:p w:rsidR="007903DB" w:rsidRPr="007903DB" w:rsidRDefault="007903DB" w:rsidP="007903DB">
            <w:pPr>
              <w:spacing w:after="0" w:line="240" w:lineRule="auto"/>
              <w:rPr>
                <w:rFonts w:ascii="Times New Roman" w:eastAsia="Times New Roman" w:hAnsi="Times New Roman" w:cs="Times New Roman"/>
                <w:sz w:val="17"/>
                <w:szCs w:val="17"/>
              </w:rPr>
            </w:pPr>
            <w:r w:rsidRPr="007903DB">
              <w:rPr>
                <w:rFonts w:ascii="Times New Roman" w:eastAsia="Times New Roman" w:hAnsi="Times New Roman" w:cs="Times New Roman"/>
                <w:sz w:val="17"/>
                <w:szCs w:val="17"/>
              </w:rPr>
              <w:t>5454</w:t>
            </w:r>
          </w:p>
        </w:tc>
      </w:tr>
    </w:tbl>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Балаковский муниципальный район является одним из ведущих в Саратовской области по развитию физкультурно-массового движения, служит базой для развития таких видов спорта как, волейбол, борьба самбо, дзюдо, футбол, шахматы, спидвей, лыжные гонки, биатлон, легкая атлетика, хоккей, бокс и др.</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За отчетный период согласно календарному плану проведено 120 спортивно-массовых мероприятий, в которых приняли участие около 15 тыс. человек(за 2010г. проведено – 112 мероприятий, привлечено около 13800 тыс. человек)</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В рамках развития массового спорта организованы соревнования по лыжным гонкам на призы главы БМР, посвященные «Дню лыжника», «Золотая шайба», легкоатлетическая эстафета, соревнования по дворовому футболу, соревнования по футболу «Кожаный мяч», Первенство БМР по мини-футболу и футболу, соревнования по греко-римской борьбе, спартакиада среди школьников, «Олимпийский день бега». Проведена спартакиада сельской молодежи с. Натальино по 6 видам спорта с участием 15 команд из 12 муниципальных образований (600 человек).</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Проведена спартакиада среди городских и сельских школьников 2010-2011 учебного года, в которой приняли участие около 2 000 школьников. По итогам спартакиады победителями среди сельских школьников стали спортсмены с. Маянга, 2 место заняли школьники с. Головановка, 3 место – с. Новониколаевка. Среди городских школьников уверенную победу одержали школьники «СОШ № 20», 2 место – «Лицей № 1» , 3 место – «СОШ № 13». В сентябре стартовала очередная спартакиада среди школьников 2011 - 2012 учебного года.</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 </w:t>
      </w:r>
    </w:p>
    <w:p w:rsidR="007903DB" w:rsidRPr="007903DB" w:rsidRDefault="007903DB" w:rsidP="007903DB">
      <w:pPr>
        <w:spacing w:after="45" w:line="248" w:lineRule="atLeast"/>
        <w:ind w:firstLine="300"/>
        <w:jc w:val="center"/>
        <w:rPr>
          <w:rFonts w:ascii="Verdana" w:eastAsia="Times New Roman" w:hAnsi="Verdana" w:cs="Times New Roman"/>
          <w:color w:val="000000"/>
          <w:sz w:val="17"/>
          <w:szCs w:val="17"/>
        </w:rPr>
      </w:pPr>
      <w:r w:rsidRPr="007903DB">
        <w:rPr>
          <w:rFonts w:ascii="Verdana" w:eastAsia="Times New Roman" w:hAnsi="Verdana" w:cs="Times New Roman"/>
          <w:b/>
          <w:bCs/>
          <w:color w:val="000000"/>
          <w:sz w:val="17"/>
        </w:rPr>
        <w:t>Спорт высших достижений</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Спортсмены Балаковского муниципального района успешно участвуют в соревнованиях городского, областного, Российского и международного уровня, показывая высокие результаты.</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 Биатлонисты воспитанницы ДЮСШ «Юность»</w:t>
      </w:r>
      <w:r w:rsidRPr="007903DB">
        <w:rPr>
          <w:rFonts w:ascii="Verdana" w:eastAsia="Times New Roman" w:hAnsi="Verdana" w:cs="Times New Roman"/>
          <w:color w:val="000000"/>
          <w:sz w:val="17"/>
        </w:rPr>
        <w:t> </w:t>
      </w:r>
      <w:r w:rsidRPr="007903DB">
        <w:rPr>
          <w:rFonts w:ascii="Verdana" w:eastAsia="Times New Roman" w:hAnsi="Verdana" w:cs="Times New Roman"/>
          <w:b/>
          <w:bCs/>
          <w:color w:val="000000"/>
          <w:sz w:val="17"/>
        </w:rPr>
        <w:t>Еременко Виктория</w:t>
      </w:r>
      <w:r w:rsidRPr="007903DB">
        <w:rPr>
          <w:rFonts w:ascii="Verdana" w:eastAsia="Times New Roman" w:hAnsi="Verdana" w:cs="Times New Roman"/>
          <w:color w:val="000000"/>
          <w:sz w:val="17"/>
        </w:rPr>
        <w:t> </w:t>
      </w:r>
      <w:r w:rsidRPr="007903DB">
        <w:rPr>
          <w:rFonts w:ascii="Verdana" w:eastAsia="Times New Roman" w:hAnsi="Verdana" w:cs="Times New Roman"/>
          <w:color w:val="000000"/>
          <w:sz w:val="17"/>
          <w:szCs w:val="17"/>
        </w:rPr>
        <w:t>стала серебряным призером Первенства России в командной гонке.</w:t>
      </w:r>
      <w:r w:rsidRPr="007903DB">
        <w:rPr>
          <w:rFonts w:ascii="Verdana" w:eastAsia="Times New Roman" w:hAnsi="Verdana" w:cs="Times New Roman"/>
          <w:color w:val="000000"/>
          <w:sz w:val="17"/>
        </w:rPr>
        <w:t> </w:t>
      </w:r>
      <w:r w:rsidRPr="007903DB">
        <w:rPr>
          <w:rFonts w:ascii="Verdana" w:eastAsia="Times New Roman" w:hAnsi="Verdana" w:cs="Times New Roman"/>
          <w:b/>
          <w:bCs/>
          <w:color w:val="000000"/>
          <w:sz w:val="17"/>
        </w:rPr>
        <w:t>Яростова Маргарита</w:t>
      </w:r>
      <w:r w:rsidRPr="007903DB">
        <w:rPr>
          <w:rFonts w:ascii="Verdana" w:eastAsia="Times New Roman" w:hAnsi="Verdana" w:cs="Times New Roman"/>
          <w:color w:val="000000"/>
          <w:sz w:val="17"/>
        </w:rPr>
        <w:t> </w:t>
      </w:r>
      <w:r w:rsidRPr="007903DB">
        <w:rPr>
          <w:rFonts w:ascii="Verdana" w:eastAsia="Times New Roman" w:hAnsi="Verdana" w:cs="Times New Roman"/>
          <w:color w:val="000000"/>
          <w:sz w:val="17"/>
          <w:szCs w:val="17"/>
        </w:rPr>
        <w:t>– чемпионка России по летнему биатлону в спринтерской гонке.</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 На Первенстве России по вейкбордуДмитрий и Елизавета Халиловы – чемпионы России, Елизавета Халилова – победительница Чемпионата России.</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b/>
          <w:bCs/>
          <w:color w:val="000000"/>
          <w:sz w:val="17"/>
        </w:rPr>
        <w:t>- </w:t>
      </w:r>
      <w:r w:rsidRPr="007903DB">
        <w:rPr>
          <w:rFonts w:ascii="Verdana" w:eastAsia="Times New Roman" w:hAnsi="Verdana" w:cs="Times New Roman"/>
          <w:color w:val="000000"/>
          <w:sz w:val="17"/>
          <w:szCs w:val="17"/>
        </w:rPr>
        <w:t>Учащиеся ДЮСТШ «РОСТО» - бронзовые призеры Чемпионата и Кубка России по подводному ориентированию 2011 года в командном зачете.. По итогам соревнований Андрей Сизов вошел в состав основной сборной команды России и стал Чемпионом Европы 2011 года.</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 Учащиеся СДЮСШОР «Балаково» - победители и призеры Всероссийских соревнований по футболу. Команда 1998 года рождения – победители чемпионата Саратовской области по футболу и обладатель Кубка Саратовской области по футболу. Команда 2000 года рождения – заняла 2 место чемпионата Саратовской области по футболу. Бочарин Иван 1995г.р. передан по договору в областную СДЮСШОР «Сокол» по футболу при команде мастеров «Сокол».</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 В августе на Всемирной Универсиаде в Китае студенческая сборная России по волейболу стала бронзовым призером. Балаковские волейболистки Ирина Уралева и Яна Щербань выступали за нашу страну.</w:t>
      </w:r>
    </w:p>
    <w:p w:rsidR="007903DB" w:rsidRPr="007903DB" w:rsidRDefault="007903DB" w:rsidP="007903DB">
      <w:pPr>
        <w:spacing w:after="0"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 Команда СК «Турбина» - чемпион России по спидвею. Высокие результаты показывает команда юниоров СК «Турбина», в составе сборной России</w:t>
      </w:r>
      <w:r w:rsidRPr="007903DB">
        <w:rPr>
          <w:rFonts w:ascii="Verdana" w:eastAsia="Times New Roman" w:hAnsi="Verdana" w:cs="Times New Roman"/>
          <w:color w:val="000000"/>
          <w:sz w:val="17"/>
        </w:rPr>
        <w:t> </w:t>
      </w:r>
      <w:r w:rsidRPr="007903DB">
        <w:rPr>
          <w:rFonts w:ascii="Verdana" w:eastAsia="Times New Roman" w:hAnsi="Verdana" w:cs="Times New Roman"/>
          <w:i/>
          <w:iCs/>
          <w:color w:val="000000"/>
          <w:sz w:val="17"/>
        </w:rPr>
        <w:t xml:space="preserve">(Илья Чалов, Владимир Бородулин и Андрей </w:t>
      </w:r>
      <w:r w:rsidRPr="007903DB">
        <w:rPr>
          <w:rFonts w:ascii="Verdana" w:eastAsia="Times New Roman" w:hAnsi="Verdana" w:cs="Times New Roman"/>
          <w:i/>
          <w:iCs/>
          <w:color w:val="000000"/>
          <w:sz w:val="17"/>
        </w:rPr>
        <w:lastRenderedPageBreak/>
        <w:t>Кудряшов) </w:t>
      </w:r>
      <w:r w:rsidRPr="007903DB">
        <w:rPr>
          <w:rFonts w:ascii="Verdana" w:eastAsia="Times New Roman" w:hAnsi="Verdana" w:cs="Times New Roman"/>
          <w:color w:val="000000"/>
          <w:sz w:val="17"/>
          <w:szCs w:val="17"/>
        </w:rPr>
        <w:t>стали победителями Чемпионата мира по спидвею в 2011 году. Воспитанник ДЮСТШ «РОСТО» Илья Чалов стал победителем Чемпионата России по спидвею среди юниоров до 21 года</w:t>
      </w:r>
      <w:r w:rsidRPr="007903DB">
        <w:rPr>
          <w:rFonts w:ascii="Verdana" w:eastAsia="Times New Roman" w:hAnsi="Verdana" w:cs="Times New Roman"/>
          <w:i/>
          <w:iCs/>
          <w:color w:val="000000"/>
          <w:sz w:val="17"/>
        </w:rPr>
        <w:t>.</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Победителем Кубка мира по кикбоксингу стал воспитанник клуба «Гепард» Керим Керимов.</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В Балаковском муниципальном районе созданы 16 федераций по видам спорта (греко-римская борьба, дзюдо, самбо, легкая атлетика, футбол, воднолыжный спорт, водные виды спорта (плавание, синхронное плавание, прыжки в воду), водные виды спорта (плавание, подводное плавание), волейбол, настольный теннис, лыжные гонки, бокс, шахматы, спортивное рыболовство, хоккей, скалолазание), которые оказывают большую помощь в привлечении внебюджетных средств для организации спортивных мероприятий, участие команд Балаковского муниципального района в официальных соревнованиях и организации учебно-тренировочных сборов.</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Для оказания помощи талантливым спортсменам создан благотворительный фонд поддержки детского и юношеского спорта «Чемпион». Фондом финансовая помощь уже оказана.</w:t>
      </w:r>
    </w:p>
    <w:p w:rsidR="007903DB" w:rsidRPr="007903DB" w:rsidRDefault="007903DB" w:rsidP="007903DB">
      <w:pPr>
        <w:spacing w:after="45" w:line="248" w:lineRule="atLeast"/>
        <w:ind w:left="-360"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 </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b/>
          <w:bCs/>
          <w:color w:val="000000"/>
          <w:sz w:val="17"/>
        </w:rPr>
        <w:t>Развитие адаптивной физической культуры и спорта</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В Балаковском муниципальном районе работает спортивный клуб инвалидов «Академия - спорт» и детско-юношеская спортивно - адаптированная школа «РиФ». Спортсмены - инвалиды участвуют в городских, областных и Всероссийских соревнованиях.</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С 21 по 29 августа 2011 года в МАУ УСК «Форум» проходил Чемпионат и Первенство России по бадминтону среди лиц с поражением опорно-двигательного аппарата, в котором приняли участие спортсмены 12 регионов России. Балаковские спортсмены заняли 6 золотых медалей в Чемпионате России и 9 золотых медалей в Первенстве России. По итогам соревнований Балаковский спортсмен Полстянкин Александр вошел в состав сборной России и на Чемпионате мира в Гватемале стал бронзовым призером соревнований.</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Высокие спортивные достижения у воспитанников ДЮСАШ «РиФ»- В 2011 году 5 воспитанников приняли участие в Чемпионате России, выступая за сборную команду Саратовской области. Шалин Константин стал призером Чемпионата России по плаванию – занял 3 место. Балаковского отделения признана лучшей в Саратовской области, это благодаря хорошей работе Дорониной С.А.</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 </w:t>
      </w:r>
    </w:p>
    <w:p w:rsidR="007903DB" w:rsidRPr="007903DB" w:rsidRDefault="007903DB" w:rsidP="007903DB">
      <w:pPr>
        <w:spacing w:after="45" w:line="248" w:lineRule="atLeast"/>
        <w:ind w:firstLine="300"/>
        <w:jc w:val="center"/>
        <w:rPr>
          <w:rFonts w:ascii="Verdana" w:eastAsia="Times New Roman" w:hAnsi="Verdana" w:cs="Times New Roman"/>
          <w:color w:val="000000"/>
          <w:sz w:val="17"/>
          <w:szCs w:val="17"/>
        </w:rPr>
      </w:pPr>
      <w:r w:rsidRPr="007903DB">
        <w:rPr>
          <w:rFonts w:ascii="Verdana" w:eastAsia="Times New Roman" w:hAnsi="Verdana" w:cs="Times New Roman"/>
          <w:b/>
          <w:bCs/>
          <w:color w:val="000000"/>
          <w:sz w:val="17"/>
        </w:rPr>
        <w:t>Финансирование</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В 2012 году в подведомственных учреждениях управления была проведена работа по переходу на новые типы учреждений и подготовка к работе в новых экономических условиях: 4 спортивные школы стали бюджетными, 3 автономными.</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Сметные назначения по управлению по делам молодежи, физической культуре, спорту и туризму администрации БМР на 2011 год – 41 339 438,94 тыс. рублей (ТЭРы – год, заработная плата с начислениями). Общий расход 37 076 333,64 тыс. рублей, доходы составили 1 556 380 тыс. рублей.</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 </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b/>
          <w:bCs/>
          <w:color w:val="000000"/>
          <w:sz w:val="17"/>
        </w:rPr>
        <w:t>Задачи</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Продолжить работу по формированию здорового образа жизни среди населения Балаковского муниципального района путем вовлечения в систематические занятия физической культурой и спортом в том числе:</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1. Обеспечить увеличение жителей постоянно занимающихся физической культурой и спортом до 33 %;</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2. Активизировать работу общественных федераций по видам спорта по формированию сборных команд и по привлечению внебюджетных средств для развития детско-юношеского спорта;</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3. Рекомендовать коллективам физкультуры производственных предприятий проводить внутренние соревнования и спартакиады, принимать участие в проводимых городских соревнованиях;</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4. Обеспечить увеличение охвата детей и подростков систематическими занятиями в ДЮСШ и улучшение качества учебно-тренировочного процесса для повышения спортивного мастерства;</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5. Рекомендовать управлению культуры, молодежной политики, физической культуры и спорта администрации муниципального образования г.Балаково развивать физическую культуру на территории г.Балаково, путем увеличения числа простейших спортивных площадок, открытия секций массовых видов спорта в детских клубах центра «Ровесник»;</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6. Рекомендовать главам администрации муниципальных образований Балаковского муниципального района развивать физическую культуру на территории муниципального образования.</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lastRenderedPageBreak/>
        <w:t>7. Обеспечить увеличение числа детей дошкольного возраста занимающихся по МЦП «Маугли».</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8. Ходатайствовать перед главой администрации Балаковского муниципального района о приобретении автобуса для транспортировки команд к местам соревнований;</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9. Открыть отделения СОДЮСШ по фигурному катанию и художественной гимнастике на территории Балаковского муниципального района;</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10. Оказывать помощь в обращениях к руководствам производственных предприятий и организаций с целью оказания благотворительной финансовой помощи Благотворительному фонду «Чемпион» для поддержки детского и юношеского спорта.</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color w:val="000000"/>
          <w:sz w:val="17"/>
          <w:szCs w:val="17"/>
        </w:rPr>
        <w:t> </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b/>
          <w:bCs/>
          <w:color w:val="000000"/>
          <w:sz w:val="17"/>
        </w:rPr>
        <w:t>Начальникуправления по делам молодежи, </w:t>
      </w:r>
    </w:p>
    <w:p w:rsidR="007903DB" w:rsidRPr="007903DB" w:rsidRDefault="007903DB" w:rsidP="007903DB">
      <w:pPr>
        <w:spacing w:after="45" w:line="248" w:lineRule="atLeast"/>
        <w:ind w:firstLine="300"/>
        <w:jc w:val="both"/>
        <w:rPr>
          <w:rFonts w:ascii="Verdana" w:eastAsia="Times New Roman" w:hAnsi="Verdana" w:cs="Times New Roman"/>
          <w:color w:val="000000"/>
          <w:sz w:val="17"/>
          <w:szCs w:val="17"/>
        </w:rPr>
      </w:pPr>
      <w:r w:rsidRPr="007903DB">
        <w:rPr>
          <w:rFonts w:ascii="Verdana" w:eastAsia="Times New Roman" w:hAnsi="Verdana" w:cs="Times New Roman"/>
          <w:b/>
          <w:bCs/>
          <w:color w:val="000000"/>
          <w:sz w:val="17"/>
        </w:rPr>
        <w:t>физической культуры, спорта и туризма                               А.Б. Попутников</w:t>
      </w:r>
    </w:p>
    <w:p w:rsidR="00C7087A" w:rsidRDefault="00C7087A"/>
    <w:sectPr w:rsidR="00C70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903DB"/>
    <w:rsid w:val="007903DB"/>
    <w:rsid w:val="00C70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903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903DB"/>
    <w:rPr>
      <w:rFonts w:ascii="Times New Roman" w:eastAsia="Times New Roman" w:hAnsi="Times New Roman" w:cs="Times New Roman"/>
      <w:b/>
      <w:bCs/>
      <w:sz w:val="27"/>
      <w:szCs w:val="27"/>
    </w:rPr>
  </w:style>
  <w:style w:type="character" w:styleId="a3">
    <w:name w:val="Hyperlink"/>
    <w:basedOn w:val="a0"/>
    <w:uiPriority w:val="99"/>
    <w:semiHidden/>
    <w:unhideWhenUsed/>
    <w:rsid w:val="007903DB"/>
    <w:rPr>
      <w:color w:val="0000FF"/>
      <w:u w:val="single"/>
    </w:rPr>
  </w:style>
  <w:style w:type="paragraph" w:styleId="a4">
    <w:name w:val="Normal (Web)"/>
    <w:basedOn w:val="a"/>
    <w:uiPriority w:val="99"/>
    <w:semiHidden/>
    <w:unhideWhenUsed/>
    <w:rsid w:val="007903D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903DB"/>
    <w:rPr>
      <w:i/>
      <w:iCs/>
    </w:rPr>
  </w:style>
  <w:style w:type="character" w:styleId="a6">
    <w:name w:val="Strong"/>
    <w:basedOn w:val="a0"/>
    <w:uiPriority w:val="22"/>
    <w:qFormat/>
    <w:rsid w:val="007903DB"/>
    <w:rPr>
      <w:b/>
      <w:bCs/>
    </w:rPr>
  </w:style>
  <w:style w:type="paragraph" w:customStyle="1" w:styleId="rtecenter">
    <w:name w:val="rtecenter"/>
    <w:basedOn w:val="a"/>
    <w:rsid w:val="007903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903DB"/>
  </w:style>
</w:styles>
</file>

<file path=word/webSettings.xml><?xml version="1.0" encoding="utf-8"?>
<w:webSettings xmlns:r="http://schemas.openxmlformats.org/officeDocument/2006/relationships" xmlns:w="http://schemas.openxmlformats.org/wordprocessingml/2006/main">
  <w:divs>
    <w:div w:id="1086197064">
      <w:bodyDiv w:val="1"/>
      <w:marLeft w:val="0"/>
      <w:marRight w:val="0"/>
      <w:marTop w:val="0"/>
      <w:marBottom w:val="0"/>
      <w:divBdr>
        <w:top w:val="none" w:sz="0" w:space="0" w:color="auto"/>
        <w:left w:val="none" w:sz="0" w:space="0" w:color="auto"/>
        <w:bottom w:val="none" w:sz="0" w:space="0" w:color="auto"/>
        <w:right w:val="none" w:sz="0" w:space="0" w:color="auto"/>
      </w:divBdr>
      <w:divsChild>
        <w:div w:id="9140915">
          <w:marLeft w:val="0"/>
          <w:marRight w:val="0"/>
          <w:marTop w:val="0"/>
          <w:marBottom w:val="0"/>
          <w:divBdr>
            <w:top w:val="none" w:sz="0" w:space="0" w:color="auto"/>
            <w:left w:val="none" w:sz="0" w:space="0" w:color="auto"/>
            <w:bottom w:val="single" w:sz="6" w:space="5" w:color="CCCCCC"/>
            <w:right w:val="none" w:sz="0" w:space="0" w:color="auto"/>
          </w:divBdr>
          <w:divsChild>
            <w:div w:id="1765884378">
              <w:marLeft w:val="0"/>
              <w:marRight w:val="0"/>
              <w:marTop w:val="0"/>
              <w:marBottom w:val="0"/>
              <w:divBdr>
                <w:top w:val="none" w:sz="0" w:space="0" w:color="auto"/>
                <w:left w:val="none" w:sz="0" w:space="0" w:color="auto"/>
                <w:bottom w:val="none" w:sz="0" w:space="0" w:color="auto"/>
                <w:right w:val="none" w:sz="0" w:space="0" w:color="auto"/>
              </w:divBdr>
            </w:div>
            <w:div w:id="1571384514">
              <w:marLeft w:val="0"/>
              <w:marRight w:val="0"/>
              <w:marTop w:val="0"/>
              <w:marBottom w:val="0"/>
              <w:divBdr>
                <w:top w:val="none" w:sz="0" w:space="0" w:color="auto"/>
                <w:left w:val="none" w:sz="0" w:space="0" w:color="auto"/>
                <w:bottom w:val="none" w:sz="0" w:space="0" w:color="auto"/>
                <w:right w:val="none" w:sz="0" w:space="0" w:color="auto"/>
              </w:divBdr>
            </w:div>
            <w:div w:id="2100251720">
              <w:marLeft w:val="0"/>
              <w:marRight w:val="0"/>
              <w:marTop w:val="0"/>
              <w:marBottom w:val="0"/>
              <w:divBdr>
                <w:top w:val="none" w:sz="0" w:space="0" w:color="auto"/>
                <w:left w:val="none" w:sz="0" w:space="0" w:color="auto"/>
                <w:bottom w:val="none" w:sz="0" w:space="0" w:color="auto"/>
                <w:right w:val="none" w:sz="0" w:space="0" w:color="auto"/>
              </w:divBdr>
            </w:div>
            <w:div w:id="360011898">
              <w:marLeft w:val="0"/>
              <w:marRight w:val="0"/>
              <w:marTop w:val="0"/>
              <w:marBottom w:val="0"/>
              <w:divBdr>
                <w:top w:val="none" w:sz="0" w:space="0" w:color="auto"/>
                <w:left w:val="none" w:sz="0" w:space="0" w:color="auto"/>
                <w:bottom w:val="none" w:sz="0" w:space="0" w:color="auto"/>
                <w:right w:val="none" w:sz="0" w:space="0" w:color="auto"/>
              </w:divBdr>
            </w:div>
            <w:div w:id="1955625679">
              <w:marLeft w:val="0"/>
              <w:marRight w:val="0"/>
              <w:marTop w:val="0"/>
              <w:marBottom w:val="0"/>
              <w:divBdr>
                <w:top w:val="none" w:sz="0" w:space="0" w:color="auto"/>
                <w:left w:val="none" w:sz="0" w:space="0" w:color="auto"/>
                <w:bottom w:val="none" w:sz="0" w:space="0" w:color="auto"/>
                <w:right w:val="none" w:sz="0" w:space="0" w:color="auto"/>
              </w:divBdr>
            </w:div>
            <w:div w:id="2009669818">
              <w:marLeft w:val="0"/>
              <w:marRight w:val="0"/>
              <w:marTop w:val="0"/>
              <w:marBottom w:val="0"/>
              <w:divBdr>
                <w:top w:val="none" w:sz="0" w:space="0" w:color="auto"/>
                <w:left w:val="none" w:sz="0" w:space="0" w:color="auto"/>
                <w:bottom w:val="none" w:sz="0" w:space="0" w:color="auto"/>
                <w:right w:val="none" w:sz="0" w:space="0" w:color="auto"/>
              </w:divBdr>
            </w:div>
            <w:div w:id="391078248">
              <w:marLeft w:val="0"/>
              <w:marRight w:val="0"/>
              <w:marTop w:val="0"/>
              <w:marBottom w:val="0"/>
              <w:divBdr>
                <w:top w:val="none" w:sz="0" w:space="0" w:color="auto"/>
                <w:left w:val="none" w:sz="0" w:space="0" w:color="auto"/>
                <w:bottom w:val="none" w:sz="0" w:space="0" w:color="auto"/>
                <w:right w:val="none" w:sz="0" w:space="0" w:color="auto"/>
              </w:divBdr>
            </w:div>
            <w:div w:id="2053383967">
              <w:marLeft w:val="0"/>
              <w:marRight w:val="0"/>
              <w:marTop w:val="0"/>
              <w:marBottom w:val="0"/>
              <w:divBdr>
                <w:top w:val="none" w:sz="0" w:space="0" w:color="auto"/>
                <w:left w:val="none" w:sz="0" w:space="0" w:color="auto"/>
                <w:bottom w:val="none" w:sz="0" w:space="0" w:color="auto"/>
                <w:right w:val="none" w:sz="0" w:space="0" w:color="auto"/>
              </w:divBdr>
            </w:div>
            <w:div w:id="1485119025">
              <w:marLeft w:val="0"/>
              <w:marRight w:val="0"/>
              <w:marTop w:val="0"/>
              <w:marBottom w:val="0"/>
              <w:divBdr>
                <w:top w:val="none" w:sz="0" w:space="0" w:color="auto"/>
                <w:left w:val="none" w:sz="0" w:space="0" w:color="auto"/>
                <w:bottom w:val="none" w:sz="0" w:space="0" w:color="auto"/>
                <w:right w:val="none" w:sz="0" w:space="0" w:color="auto"/>
              </w:divBdr>
            </w:div>
            <w:div w:id="1220020597">
              <w:marLeft w:val="0"/>
              <w:marRight w:val="0"/>
              <w:marTop w:val="0"/>
              <w:marBottom w:val="0"/>
              <w:divBdr>
                <w:top w:val="none" w:sz="0" w:space="0" w:color="auto"/>
                <w:left w:val="none" w:sz="0" w:space="0" w:color="auto"/>
                <w:bottom w:val="none" w:sz="0" w:space="0" w:color="auto"/>
                <w:right w:val="none" w:sz="0" w:space="0" w:color="auto"/>
              </w:divBdr>
            </w:div>
            <w:div w:id="1692105411">
              <w:marLeft w:val="0"/>
              <w:marRight w:val="0"/>
              <w:marTop w:val="0"/>
              <w:marBottom w:val="0"/>
              <w:divBdr>
                <w:top w:val="none" w:sz="0" w:space="0" w:color="auto"/>
                <w:left w:val="none" w:sz="0" w:space="0" w:color="auto"/>
                <w:bottom w:val="none" w:sz="0" w:space="0" w:color="auto"/>
                <w:right w:val="none" w:sz="0" w:space="0" w:color="auto"/>
              </w:divBdr>
            </w:div>
            <w:div w:id="966541903">
              <w:marLeft w:val="0"/>
              <w:marRight w:val="0"/>
              <w:marTop w:val="0"/>
              <w:marBottom w:val="0"/>
              <w:divBdr>
                <w:top w:val="none" w:sz="0" w:space="0" w:color="auto"/>
                <w:left w:val="none" w:sz="0" w:space="0" w:color="auto"/>
                <w:bottom w:val="none" w:sz="0" w:space="0" w:color="auto"/>
                <w:right w:val="none" w:sz="0" w:space="0" w:color="auto"/>
              </w:divBdr>
            </w:div>
            <w:div w:id="1645306497">
              <w:marLeft w:val="0"/>
              <w:marRight w:val="0"/>
              <w:marTop w:val="0"/>
              <w:marBottom w:val="0"/>
              <w:divBdr>
                <w:top w:val="none" w:sz="0" w:space="0" w:color="auto"/>
                <w:left w:val="none" w:sz="0" w:space="0" w:color="auto"/>
                <w:bottom w:val="none" w:sz="0" w:space="0" w:color="auto"/>
                <w:right w:val="none" w:sz="0" w:space="0" w:color="auto"/>
              </w:divBdr>
            </w:div>
            <w:div w:id="638071484">
              <w:marLeft w:val="0"/>
              <w:marRight w:val="0"/>
              <w:marTop w:val="0"/>
              <w:marBottom w:val="0"/>
              <w:divBdr>
                <w:top w:val="none" w:sz="0" w:space="0" w:color="auto"/>
                <w:left w:val="none" w:sz="0" w:space="0" w:color="auto"/>
                <w:bottom w:val="none" w:sz="0" w:space="0" w:color="auto"/>
                <w:right w:val="none" w:sz="0" w:space="0" w:color="auto"/>
              </w:divBdr>
            </w:div>
            <w:div w:id="1579092665">
              <w:marLeft w:val="0"/>
              <w:marRight w:val="0"/>
              <w:marTop w:val="0"/>
              <w:marBottom w:val="0"/>
              <w:divBdr>
                <w:top w:val="none" w:sz="0" w:space="0" w:color="auto"/>
                <w:left w:val="none" w:sz="0" w:space="0" w:color="auto"/>
                <w:bottom w:val="none" w:sz="0" w:space="0" w:color="auto"/>
                <w:right w:val="none" w:sz="0" w:space="0" w:color="auto"/>
              </w:divBdr>
            </w:div>
            <w:div w:id="1790052420">
              <w:marLeft w:val="0"/>
              <w:marRight w:val="0"/>
              <w:marTop w:val="0"/>
              <w:marBottom w:val="0"/>
              <w:divBdr>
                <w:top w:val="none" w:sz="0" w:space="0" w:color="auto"/>
                <w:left w:val="none" w:sz="0" w:space="0" w:color="auto"/>
                <w:bottom w:val="none" w:sz="0" w:space="0" w:color="auto"/>
                <w:right w:val="none" w:sz="0" w:space="0" w:color="auto"/>
              </w:divBdr>
            </w:div>
            <w:div w:id="784498514">
              <w:marLeft w:val="0"/>
              <w:marRight w:val="0"/>
              <w:marTop w:val="0"/>
              <w:marBottom w:val="0"/>
              <w:divBdr>
                <w:top w:val="none" w:sz="0" w:space="0" w:color="auto"/>
                <w:left w:val="none" w:sz="0" w:space="0" w:color="auto"/>
                <w:bottom w:val="none" w:sz="0" w:space="0" w:color="auto"/>
                <w:right w:val="none" w:sz="0" w:space="0" w:color="auto"/>
              </w:divBdr>
            </w:div>
            <w:div w:id="636956288">
              <w:marLeft w:val="0"/>
              <w:marRight w:val="0"/>
              <w:marTop w:val="0"/>
              <w:marBottom w:val="0"/>
              <w:divBdr>
                <w:top w:val="none" w:sz="0" w:space="0" w:color="auto"/>
                <w:left w:val="none" w:sz="0" w:space="0" w:color="auto"/>
                <w:bottom w:val="none" w:sz="0" w:space="0" w:color="auto"/>
                <w:right w:val="none" w:sz="0" w:space="0" w:color="auto"/>
              </w:divBdr>
            </w:div>
            <w:div w:id="2127314123">
              <w:marLeft w:val="0"/>
              <w:marRight w:val="0"/>
              <w:marTop w:val="0"/>
              <w:marBottom w:val="0"/>
              <w:divBdr>
                <w:top w:val="none" w:sz="0" w:space="0" w:color="auto"/>
                <w:left w:val="none" w:sz="0" w:space="0" w:color="auto"/>
                <w:bottom w:val="none" w:sz="0" w:space="0" w:color="auto"/>
                <w:right w:val="none" w:sz="0" w:space="0" w:color="auto"/>
              </w:divBdr>
            </w:div>
            <w:div w:id="1094471285">
              <w:marLeft w:val="0"/>
              <w:marRight w:val="0"/>
              <w:marTop w:val="0"/>
              <w:marBottom w:val="0"/>
              <w:divBdr>
                <w:top w:val="none" w:sz="0" w:space="0" w:color="auto"/>
                <w:left w:val="none" w:sz="0" w:space="0" w:color="auto"/>
                <w:bottom w:val="none" w:sz="0" w:space="0" w:color="auto"/>
                <w:right w:val="none" w:sz="0" w:space="0" w:color="auto"/>
              </w:divBdr>
            </w:div>
            <w:div w:id="104619945">
              <w:marLeft w:val="0"/>
              <w:marRight w:val="0"/>
              <w:marTop w:val="0"/>
              <w:marBottom w:val="0"/>
              <w:divBdr>
                <w:top w:val="none" w:sz="0" w:space="0" w:color="auto"/>
                <w:left w:val="none" w:sz="0" w:space="0" w:color="auto"/>
                <w:bottom w:val="none" w:sz="0" w:space="0" w:color="auto"/>
                <w:right w:val="none" w:sz="0" w:space="0" w:color="auto"/>
              </w:divBdr>
            </w:div>
            <w:div w:id="23332734">
              <w:marLeft w:val="0"/>
              <w:marRight w:val="0"/>
              <w:marTop w:val="0"/>
              <w:marBottom w:val="0"/>
              <w:divBdr>
                <w:top w:val="none" w:sz="0" w:space="0" w:color="auto"/>
                <w:left w:val="none" w:sz="0" w:space="0" w:color="auto"/>
                <w:bottom w:val="none" w:sz="0" w:space="0" w:color="auto"/>
                <w:right w:val="none" w:sz="0" w:space="0" w:color="auto"/>
              </w:divBdr>
            </w:div>
            <w:div w:id="1950577291">
              <w:marLeft w:val="0"/>
              <w:marRight w:val="0"/>
              <w:marTop w:val="0"/>
              <w:marBottom w:val="0"/>
              <w:divBdr>
                <w:top w:val="none" w:sz="0" w:space="0" w:color="auto"/>
                <w:left w:val="none" w:sz="0" w:space="0" w:color="auto"/>
                <w:bottom w:val="none" w:sz="0" w:space="0" w:color="auto"/>
                <w:right w:val="none" w:sz="0" w:space="0" w:color="auto"/>
              </w:divBdr>
            </w:div>
            <w:div w:id="1882548530">
              <w:marLeft w:val="0"/>
              <w:marRight w:val="0"/>
              <w:marTop w:val="0"/>
              <w:marBottom w:val="0"/>
              <w:divBdr>
                <w:top w:val="none" w:sz="0" w:space="0" w:color="auto"/>
                <w:left w:val="none" w:sz="0" w:space="0" w:color="auto"/>
                <w:bottom w:val="none" w:sz="0" w:space="0" w:color="auto"/>
                <w:right w:val="none" w:sz="0" w:space="0" w:color="auto"/>
              </w:divBdr>
            </w:div>
            <w:div w:id="12655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chive.admbal.ru/page/otchet-upravleniya-po-delam-molodezhi-fizicheskoi-kultury-sporta-i-turizma-administratsii-bal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1890</Words>
  <Characters>10778</Characters>
  <Application>Microsoft Office Word</Application>
  <DocSecurity>0</DocSecurity>
  <Lines>89</Lines>
  <Paragraphs>25</Paragraphs>
  <ScaleCrop>false</ScaleCrop>
  <Company>Администрация БМР</Company>
  <LinksUpToDate>false</LinksUpToDate>
  <CharactersWithSpaces>12643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2020-03-04T04:40:00Z</dcterms:created>
  <dcterms:modified xsi:type="dcterms:W3CDTF">2020-03-04T04:40:00Z</dcterms:modified>
</cp:coreProperties>
</file>