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45" w:rsidRPr="00651045" w:rsidRDefault="00651045" w:rsidP="00651045">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выполнении плана мероприятий учреждений здравоохранения по улучшению демографической ситуации на территории Балаковского муниципального района по итогам 8 месяцев 2011г." w:history="1">
        <w:r w:rsidRPr="00651045">
          <w:rPr>
            <w:rFonts w:ascii="Verdana" w:eastAsia="Times New Roman" w:hAnsi="Verdana" w:cs="Times New Roman"/>
            <w:b/>
            <w:bCs/>
            <w:color w:val="000000"/>
            <w:spacing w:val="-10"/>
            <w:sz w:val="18"/>
          </w:rPr>
          <w:t>О выполнении плана мероприятий учреждений здравоохранения по улучшению демографической ситуации на территории Балаковского муниципального района по итогам 8 месяцев 2011г.</w:t>
        </w:r>
      </w:hyperlink>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Демографические показатели являются интегральными показателями не только здравоохранения, но и социально-экономического развития района в целом.</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Эффективность реализации приоритетного национального проекта «Здоровье», Программы модернизации здравоохранения, целевых муниципальных программ      определяется достижением целевых демографических показателей.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На территории БМР во исполнение распоряжения Правительства Саратовской области от 07.10.2010г. № 321-Пр «О плане мероприятий на 2011-2015г.г. по реализации Концепции демографической политики Саратовской области на период до 2025г. постановлением Главы администрации БМР № 4671 от 07.12.10г. утвержден план мероприятий на 2011-2015 г.г. по реализации на территории БМР Концепции демографической политики, в т.ч по снижению смертности от сердечно-сосудистых, онкозаболеваний и травматизма.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Говоря о демографической ситуации, необходимо озвучить структуру населения: за последние 10 лет численность населения сократилась на 5%(с229,7 до 218,5тыс.). Удельный вес детского населения продолжает сокращаться с 23.2% в 2001г. До 16,6% в2011г, что свидетельствует о регрессивном типе населения. Трудоспособное население сократилось на 4 %, при этом нетрудоспособное возросло на 16% (с 42,4 до 49,5 тыс.). Сократилось количество женщин детородного возраста на7% (с 63,9 до 59,7 тыс.).</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Одним из основных направлений деятельность комитета здравоохранения и лечебно-профилактических учреждений БМР является реализация задач в области демографии.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По итогам 8 месяцев 2011г.на территории БМР сложилась следующая демографическая ситуация: рождаемость– 10,1 на тыс.населения (2010г. – 10,72). Повышение уровня рождаемости в 2011г. на 19% к 2001г. не обеспечивает простого замещения поколений. В 2011г.отмечается рост вторых и третьих родов на 4%.</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Общая смертность населения составила –9,9на 1000 населения (2010г. – 9,96) и впервые появилась динамика в снижении общей смертности на 0,6%.</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Прогнозно за год показатель- 14,8 на 1000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(Целевой показатель в соответствии с Программой модернизации Саратовской области 14,9).</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Естественная убыль населения составляет – 4,7</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Структура смертности не изменилась:</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на Iместе – сердечно-сосудистые заболевания – 55,7% (2010г. –60%);</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II месте – злокачественные новообразования – 15,3% (2010г. – 14,2%);</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III месте – травмы и несчастные случаи- 9,9 % (2010г. – 9,6 %).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2011 году возросла смертность от неестественных причин на 3,1%, в том числе от транспортных травм 11,9 %.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Смертность среди лиц трудоспособного возраста составила — 4,3 на1000 населения, на уровне прошлого года и ниже среднеобластного показателя. Позитивным является снижение смертности определяющей демографическую ситуацию района и целевой показатель Программы модернизации: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от сердечно-сосудистых заболеваний – на 11,4 % (183,0 на 100 тыс. населения); целевой ПМ-180.0 НА 100 тыс.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от злокачественных новообразований на15% (79,5 на 100 тыс. населения), целевой ПМ-84,8НА 100 тыс.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К сожалению смертность от внешних причин возросла на2,7 % (160,0 на 100 тыс.населения); но остается ниже целевого по ПМ-178,0 НА 100 тыс.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Во всех лечебно-профилактических учреждениях, оказывающих медицинскую помощь больным с сердечно-сосудистыми заболеваниями внедрены порядки оказания медицинской помощи по оказанию кардиологической помощи ,больным с сосудистыми заболеваниями головного мозга.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По Федеральной программе «Модернизация здравоохранения» в МУЗ «Городская больница № 1» проводится подготовка к открытию отделения первичной помощи сосудистым больным на базе неврологического отделения № 1, кардиологического отделения № 1, отделения реанимации и интенсивной терапии.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lastRenderedPageBreak/>
        <w:t>С января 2011г. проводится ежемесячный мониторинг всех случаев инсульта после выписки больных из стационара, с последующим наблюдением на амбулаторном этапе и проведением реабилитационных мероприятий.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Ежемесячно в ЛПУ, комитете здравоохранения АБМР проводится разбор всех случаев смерти от заболеваний сердечно-сосудистой системы с обязательным проведением анализа причин смерти, качества оказанной медицинской помощи. Всем больным с острым инфарктом миокарда (при наличии показаний) проводится тромболизис.</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середины июня 2011г. введен в действие план мероприятий по предотвращению роста смертности населения в аномальных климатических условиях.</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Продолжена санитарно-просветительная работа в средствах массовой информации по вопросам сердечно-сосудистой заболеваемости, выпущено в местной печати 6 статей, проведено 6 телепередач.</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Выполнение данных мероприятий способствовало:</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снижению роста смертности от сердечно-сосудистых заболеваний.на 8,8 %. За 8 месяцев показатель смертности составил 552,0 на 100 тыс. населения, в том числе зарегистрировано снижение смертности на 11,4 % среди лиц трудоспособного возраста в сравнении с аналогичным периодом прошлого года, показатель составил 122,0 на 100 тысяч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Оказание онкологической помощи населения БМР проводится в соответствии с порядком и стандартами оказания медицинской помощи онкологическим больным.</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Амбулаторно-поликлиническими учреждениями проводятся профилактические медицинские осмотры населения в смотровых кабинетах, выявлено 10 случаев рака шейки матки.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Проводится скрининг рака молочной железы – проведение маммографического обследования – охвачено 23,2% женского населения старше 40 лет по результатам скрининга выявлено21случай рака молочной железы.</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При проведении флюорографии выявлено 13случаев рака легких. В поликлиниках города введено обследование населения на онкомаркеры рака матки и рака предстательной железы, у 10% обследованных выявлена положительная реакция на онкомаркеры (240 человек), все пациенты направлены на консультацию к врачам-специалистам (уролог, гинеколог, онколог).</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Профилактическое выявление онкопатологии в сравнении с 2010 годом увеличилось с 10,0 до 12,3%. Активизирована работа в средствах массовой информации: выпущено по проблемам онкологии 6 статей в местной печати, проведено 6 передачи по местному телевидению, выпущено 6 радиопередач.</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По итогам проведенной работы за8 месяцев 2011г. выявлено впервые 562 случая онкопатологии, показатель одногодичной летальности составил 19 % от всех взятых на диспансерный учет и ниже областного показателя.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Несмотря на увеличение смертности от онкопатологнии в целом на 6,9 %, смертность от онкопатологии среди лиц трудоспособного возраста уменьшилась на 15% и составила 53,0 на 100 тысяч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За 8 месяцев 2011 года случаев материнской смертности на территории Балаковского муниципального района не зарегистрировано</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Умерло 10 детей до года жизни - показатель МС-6,75%о(при областном показателе за 7 мес.2011г. - 5,6%о), ниже прошлого года. На 15,6 %.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Все случаи смерти детей до одного года жизни разобраны на уровне ЛПУ и комитета здравоохранения АБМР.</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Структура смертности: врожденные пороки развития - 40%; инфекционные заболевания и болезни перинатального периода-40% ;синдром внезапной смерти и несчастный случай-20%.</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При разборе в 50 % выявлен асоциальный фактор, недостатки в работе с социозащитными органами, недостаточная работа по вопросам планирования семьи.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Разработан план мероприятий по снижению младенческой смертности. Дополнительно проведены мероприятия социальной направленности. Во взрослых поликлиниках района введены ставки социальных работников для оказания медико-социальной поддержки беременных, находящихся в трудной жизненной ситуации.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На базе МУЗ «Родильный дом» при участии женских консультаций, СРЦ «Семья» разработан проект «Вместе с мамой», в рамках Программы ассоциации «Здоровые города России», направленный на профилактику ранних отказов от детей, комплексную поддержку женщин из семей СОП.</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lastRenderedPageBreak/>
        <w:t>Разработана МЦП «Молодежь БМР» на 2011-2013 г.г., куда включена закупка средств контрацепции для женщин группы социального риска с целью предупреждения нежеланных беременностей и улучшения репродуктивного здоровья.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2006 года наши лечебные учреждения принимают активное участие в реализации Национального проекта «Современное здравоохранение», в том числе Программы</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«Родовые сертификаты»</w:t>
      </w:r>
      <w:r w:rsidRPr="00651045">
        <w:rPr>
          <w:rFonts w:ascii="Verdana" w:eastAsia="Times New Roman" w:hAnsi="Verdana" w:cs="Times New Roman"/>
          <w:color w:val="000000"/>
          <w:sz w:val="17"/>
          <w:szCs w:val="17"/>
        </w:rPr>
        <w:t>, по которой получено 16,6 тыс.рублей.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Финансовые средства согласно нормативным документам направлены на повышение уровня зарплаты медицинских работников, приобретение медикаментов и оборудования.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целью улучшения</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материально-технической базы</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учреждений здравоохранения проводятся следующие мероприятия.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Подана заявка в министерство здравоохранения Саратовской области на оборудование с техническими заданиями по МУЗ «Детская городская больница», МУЗ «Родильный дом», сосудистому центру МУЗ «Городская больница № 1» Проводятся конкурсные процедуры. 29.09.2011г в МУЗ «ДГБ№1» поставлен рентгенологический аппарат.</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16.08.2011 года министерство здравоохранения области информировало о завершенни конкурса на поставку аппаратов ИВЛ. В течение 90 календарных дней будет произведена поставка аппаратов. Победитель конкурса фирма « Vent Medical Limited”, Ирландия (модель «Inspiration”)</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08.08.2011 года состоялся аукцион на проведение ремонтных работ МУЗ «ДГБ№1» .25.08.2011 года заключен контракт на сумму 25,3млн. рублей. Проводится процедура экспертизы проектно-сметной документации капремонта МУЗ «Родильный дом».</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рамках программы модернизации на проведение капитального ремонта специализированного корпуса</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МУЗ «Городская больница №1»</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запланировано выделение средств в размере 45000,0 тыс.рублей, в том числе средства ФОМС в размере 40000,0 тыс.рублей и средства местного бюджета в размере 5000,0 . Выделение денежных средств на проведение капитального ремонта запланировано в 2012 году в связи с чем разработка проектно сметной документации будет проведена в IVквартале 2011 года , экспертиза проекта будет проведена в Iквартале 2012 года с последующим заключением муниципального контракта на проведение капитального ремонта в 2012 году.</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Одним из основных направлений в здравоохранении является профилактика.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Проведено обследование    новорожденных детей на врожденные наследственные заболевания и аудиологический скрининг:</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За 8 месяцев родилось в районе – 1685 детей, скринингами охвачено -99,7% (по причине ранней неонатальной смерти не обследованы 6 детей). За отчетный период выявлено 2 ребенка с врожденными заболеваниями (2- адреногенитальный синдром), получают заместительную терапию. Нуждаются в дообследовании в Сурдологическом центре г.Саратова 4 ребенка.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План по проведению диспансеризации</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детей-сирот и детей, пребывающих в трудной жизненной ситуации</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определен совместным приказом министерства здравоохранения области, министерства образования области, министерства социального развития и ТФОМС от 21.04.2011 года за № 489/1141/395/74 «О проведении в 2011 году диспансеризации детей-сирот и детей, находящихся в трудной жизненной ситуации».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План проведения диспансеризации детей-сирот и детей, находящихся в трудной жизненной ситуации по Балаковскому муниципальному району на 2011 год - 449 детей. осмотрено согласно плана 120 детей, из них Школа-интернат с. Сулак Краснопартизанского района — 65 детей и соц. приют «Забота» для несовершеннолетних г.Балаково — 55 детей. 58% детей имеют хронические заболевания; 42% -функциональные отклонения.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сентябре 2011года будет продолжено проведение диспансеризации детей-сирот, находящихся в трудной жизненной ситуации согласно утвержденного плана-графика.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сентябре 2011г. начато проведение</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диспансеризации 14-летних детей, проживающих на территории Балаковского района. </w:t>
      </w:r>
      <w:r w:rsidRPr="00651045">
        <w:rPr>
          <w:rFonts w:ascii="Verdana" w:eastAsia="Times New Roman" w:hAnsi="Verdana" w:cs="Times New Roman"/>
          <w:color w:val="000000"/>
          <w:sz w:val="17"/>
          <w:szCs w:val="17"/>
        </w:rPr>
        <w:t>Распоряжением главы администрации БМР утвержден график и план проведения диспансеризации 14 летних подростков. В сентябре 2011 г. будет осмотрено 409 подростков.</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современных социально-экономических условиях особо остро стоит вопрос о сокращении репродуктивных потерь в процессе воспроизводства населения за счет повышения эффективности мероприятий направленных на снижение распространенности искусственных абортов и увеличения рождаемости.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lastRenderedPageBreak/>
        <w:t>Уровень абортов на территории БМР, несмотря на плавное ежегодное снижение остается выше среднеобластного показателя.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этих условиях важно сохранить службу планирования семьи.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Проводится просвещение детей, подростков и молодежи по вопросам сохранения репродуктивного здоровья, принятия навыков осознанного материнства и отцовства, безопасного сексуального поведения в рамках реализации областных просветительских программ: «Основы здорового образа жизни» «Основы здоровья семьи» для учащихся 10-11 классов, «Студенческая семья» для студентов ВУЗов. Выполнено в течение года по утвержденным планам совместной деятельности с ВУЗами, ССУЗами и средней школы (171 лекция, 245 бесед, 14 к/ф).</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Пропаганда семейных ценностей, здоровья семьи в средствах массовой информации (5 передач на местных телеканалах).</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Специалистами кабинетов доверия и кабинетов сохранения и восстановления репродуктивной функции 4095 человек обучены по планированию семьи.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Социально-консультативные пункты организованные ГУ СО Центр «Семья» при женской консультации МУЗ «Городская поликлиника №3, женской консультации ЦРП (214 чел.) и детской поликлинике (146 чел.) оказывают социальную и консультативную помощь женщинам в период беременности, родов и послеродовый период, а также семей имеющих детей.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целях реализации мероприятий по организации медико- социальной поддержки беременных, находящихся в трудной жизненной ситуации, введены в штаты женских консультаций должности социального работника.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9-15 июня 2011г. наши ЛПУ приняли участие в акции «Подари мне жизнь», инициированной фондом социально-культурных инициатив, возглавляемой супругой Президента РФ С.Медведевой (неделя против аборта).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На базе МУЗ «Родильный дом» проведен день открытых дверей (консультирование всех желающих по вопросам планирования семьи), в МУЗ «ЦРП» - беседы с сотрудниками «О вреде аборта», выезд специалистов планирования семьи в ЛОЛ «Ласточка» - тема «Осознанное родительство», распространение информационных материалов, подчеркивающих радость материнства, выступление в СМИ.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целью</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укрепления здоровья</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и</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увеличения продолжительности жизни населения</w:t>
      </w:r>
      <w:r w:rsidRPr="00651045">
        <w:rPr>
          <w:rFonts w:ascii="Verdana" w:eastAsia="Times New Roman" w:hAnsi="Verdana" w:cs="Times New Roman"/>
          <w:color w:val="000000"/>
          <w:sz w:val="17"/>
          <w:szCs w:val="17"/>
        </w:rPr>
        <w:t>проводятся следующие мероприятия.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рамках закона Саратовской области от 22.10.1999г. № 60 МЗ СО подлежит обеспечению бесплатными медикаментами 16,3 тыс. человек, страдающих хроническими заболеваниями.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Назначение лекарственных средств производится согласно стандартам оказания медицинской помощи, высокоэффективными медикаментами.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Выписка рецептов производится автоматизировано во всех ЛПУ установлена соответствующая программа, что позволяет в короткие сроки и без ошибок оформить льготный рецепт.</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целью приближения лекарственной помощи к населению увеличено количество аптек, отпускающих льготные лекарства с 3 до 5.</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За 8 месяцев текущего года для обеспечения пациентов с хроническими заболеваниями израсходовано 18,4млн.рублей (больше на 23% по сравнению с аналогичным периодов прошлого года).Также увеличилась средняя стоимость одного льготного рецепта с 580,75 до 707,8 руб.</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период зимних каникул 2010-11г.г. Оздоровлено на территории Балаковского муниципального района 434 ребенка,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период летней оздоровительной кампании 2011 года на территории Балаковского муниципального района функционировало четыре загородных детских оздоровительных лагеря, 26 детских оздоровительных площадок с дневным пребыванием в городе (2010г.-25) и 17 в селах (2010г.-7). В загородных лагерях получили оздоровление 3192 ребенка на 19% больше чем 2010 году. На детских площадках при общеобразовательных школах- 2590 детей на уровне 2010 года, из них нуждающихся в социальной помощи-665чел.</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Получили санаторно -курортное лечение в местных санаториях в июне месяце-690 детей диспансерной группы.</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xml:space="preserve">С 01.06.2011г. на базе детского реабилитационного центра МУЗ «Детская городская поликлиника», отделения восстановительного лечения получили комплексное лечение 3633 ребенка, на базе дневного стационара детской поликлиники облечено 330 детей. Дети получали специализированное медикаментозное лечение, физиолечение, массаж, гало- и лазеротерапию. В загородных </w:t>
      </w:r>
      <w:r w:rsidRPr="00651045">
        <w:rPr>
          <w:rFonts w:ascii="Verdana" w:eastAsia="Times New Roman" w:hAnsi="Verdana" w:cs="Times New Roman"/>
          <w:color w:val="000000"/>
          <w:sz w:val="17"/>
          <w:szCs w:val="17"/>
        </w:rPr>
        <w:lastRenderedPageBreak/>
        <w:t>оздоровительных лагерях, на детских площадках оздоровлены более 6 тыс детей диспансерной группы.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целях</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u w:val="single"/>
        </w:rPr>
        <w:t>реализации комплекса мер, направленных на формирование ЗОЖ</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у граждан с 01.12.2009г. в нашем городе работает центр здоровья для взрослых на базе «Центра медицинской профилактики».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2011 году за 8месяцев проведено комплексных обследований 10449.пациентов с выдачей паспортов здоровья. 17,1% направлено на дообследование в поликлиники.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Во втором полугодии 2011 года планируется организация записи на обследование через сайт учреждения.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Планируется открытие офтальмологического кабинета. Обучаются два специалиста.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 декабря 2010г. начал работать Детский центр здоровья на базе МУЗ «Детская городская поликлиника. За 8 месяцев в Центре Здоровья для детей обследовано 4625 человек.. Более 80% детей направлены на дообследование к специалистам.</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2011г.получен мобильный центр здоровья для детей .В летнее время обследовано 1493 человека.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период</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летней оздоровительной кампании</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гигиеническое обучение проводилось на оздоровительных площадках, в центре вечернего досуга, на базе ДОЛ: с охватом 682чел.</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Санитарно-просветительная работа проводится с учащимися</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профессиональных училищ, техникума</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в виде занятий-тренингов «Умей сказать нет». В проведении занятий участвуют: врач-методист Центра медицинской профилактики, врач-нарколог психоневрологического диспансера, представитель федеральной службы по контролю за незаконным оборотом наркотиков, инструктор по гигиеническому воспитанию. В 2011г. – 54 занятия, охват 918 чел.</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С целью осуществления информационной кампании</w:t>
      </w:r>
      <w:r w:rsidRPr="00651045">
        <w:rPr>
          <w:rFonts w:ascii="Verdana" w:eastAsia="Times New Roman" w:hAnsi="Verdana" w:cs="Times New Roman"/>
          <w:color w:val="000000"/>
          <w:sz w:val="17"/>
          <w:szCs w:val="17"/>
        </w:rPr>
        <w:t>, направленной на формирование ЗОЖ, в том числе снижение потребления алкоголя и табака проведены следующие мероприятия.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За 8 мес.2011г. организовано в СМИ: печать-102 статьи, ТВ-16 сюжетов, радио-30 сообщений. Регулярно предоставляется информация в интернет-газету «Балаково-медиа», на сайт АБМР, создан сайт МУЗ «ЦМП» (новостная лента).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Разработаны информационные листы по актуальным тематикам.</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МУЗ «ЦМП» совместно с КО АБМР реализуют профилактическую программу «Основы ЗОЖ»</w:t>
      </w:r>
      <w:r w:rsidRPr="00651045">
        <w:rPr>
          <w:rFonts w:ascii="Verdana" w:eastAsia="Times New Roman" w:hAnsi="Verdana" w:cs="Times New Roman"/>
          <w:color w:val="000000"/>
          <w:sz w:val="17"/>
        </w:rPr>
        <w:t> </w:t>
      </w:r>
      <w:r w:rsidRPr="00651045">
        <w:rPr>
          <w:rFonts w:ascii="Verdana" w:eastAsia="Times New Roman" w:hAnsi="Verdana" w:cs="Times New Roman"/>
          <w:b/>
          <w:bCs/>
          <w:color w:val="000000"/>
          <w:sz w:val="17"/>
        </w:rPr>
        <w:t>на базе СОШ</w:t>
      </w:r>
      <w:r w:rsidRPr="00651045">
        <w:rPr>
          <w:rFonts w:ascii="Verdana" w:eastAsia="Times New Roman" w:hAnsi="Verdana" w:cs="Times New Roman"/>
          <w:color w:val="000000"/>
          <w:sz w:val="17"/>
        </w:rPr>
        <w:t> </w:t>
      </w:r>
      <w:r w:rsidRPr="00651045">
        <w:rPr>
          <w:rFonts w:ascii="Verdana" w:eastAsia="Times New Roman" w:hAnsi="Verdana" w:cs="Times New Roman"/>
          <w:color w:val="000000"/>
          <w:sz w:val="17"/>
          <w:szCs w:val="17"/>
        </w:rPr>
        <w:t>города и района , в 2010-2011уч.году проведено 51 занятие, охват 1588 чел.</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В комплекс мер по улучшению демографии входят также повышение доступности высокотехнологичной медицинской помощи, проведение дополнительной диспансеризации работающего населения, дополнительная иммунизация населения и мероприятия по профилактике ВИЧ-инфекции и туберкулеза.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листе ожидания на получение высокотехнологичной медицинской помощи состоит 366 человек, в том числе взрослых -282 чел., детей 84 чел., получили высокотехнологичную медицинскую помощь264чел., в том числе 196 взрослых, 68 детей.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План по дополнительной диспансеризации 5тыс.чел., осмотрено 2729 или 92% от плана 5-ти месяцев. Абсолютно здоровых-12,3%; имеют факторы риска заболеваний-35%; хронических больных-52%.</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Дополнительная иммунизация проводится в соответствии с планами прививок и поставками вакцины.</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Профилактика ВИЧ-инфекции.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рамках проекта 5,8% населения проведено обследование на ВИЧ-инфекцию скрининговым методом. 70,5% ВИЧ- инфицированных получают антиретровирусную терапию или 98,3% от приверженных к лечению.</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В рамках Проекта проводится химиопрофилактика вертикального пути передачи ВИЧ-инфекции: трехэтапной химиопрофилактикой охвачено 92,3%Демографическая ситуация на территории БМР анализируется в ЛПУ и КЗАБМР ежемесячно с разбором причин в случае отклонения от плановых показателей. Ежеквартально проводятся медицинские советы ,ПДС для руководителей ЛПУ с анализом демографической ситуации на территории БМР.</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Кроме того стимулирующие выплаты руководителям медицинских учреждений проводятся на основании критериев, включающих демографические показатели.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         Задачи до конца 2011г.</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lastRenderedPageBreak/>
        <w:t>Выполнение мероприятий Национального проекта и программы модернизации здравоохранения БМР в целях достижения основных целевых показателей:</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общая смертность – 14,9 на 1000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смертность населения в трудоспособном возрасте-585,0 на 100тыс. 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смертность в трудоспособном возрасте от болезней системы кровообращения –180,0 на 100 тыс.населения;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смертность в трудоспособном возрасте от злокачественных новообразований-84,8 на 100 тыс.населения;</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младенческая смертность – 5,8 на 1000 родившихся живыми.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color w:val="000000"/>
          <w:sz w:val="17"/>
          <w:szCs w:val="17"/>
        </w:rPr>
        <w:t> </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Председатель комитета</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здравоохранения администрации</w:t>
      </w:r>
    </w:p>
    <w:p w:rsidR="00651045" w:rsidRPr="00651045" w:rsidRDefault="00651045" w:rsidP="00651045">
      <w:pPr>
        <w:spacing w:after="45" w:line="248" w:lineRule="atLeast"/>
        <w:ind w:firstLine="300"/>
        <w:jc w:val="both"/>
        <w:rPr>
          <w:rFonts w:ascii="Verdana" w:eastAsia="Times New Roman" w:hAnsi="Verdana" w:cs="Times New Roman"/>
          <w:color w:val="000000"/>
          <w:sz w:val="17"/>
          <w:szCs w:val="17"/>
        </w:rPr>
      </w:pPr>
      <w:r w:rsidRPr="00651045">
        <w:rPr>
          <w:rFonts w:ascii="Verdana" w:eastAsia="Times New Roman" w:hAnsi="Verdana" w:cs="Times New Roman"/>
          <w:b/>
          <w:bCs/>
          <w:color w:val="000000"/>
          <w:sz w:val="17"/>
        </w:rPr>
        <w:t>Балаковского муниципального района:                       О.А.Емельяненко</w:t>
      </w:r>
    </w:p>
    <w:p w:rsidR="00251880" w:rsidRDefault="00251880"/>
    <w:sectPr w:rsidR="00251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1045"/>
    <w:rsid w:val="00251880"/>
    <w:rsid w:val="0065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1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1045"/>
    <w:rPr>
      <w:rFonts w:ascii="Times New Roman" w:eastAsia="Times New Roman" w:hAnsi="Times New Roman" w:cs="Times New Roman"/>
      <w:b/>
      <w:bCs/>
      <w:sz w:val="27"/>
      <w:szCs w:val="27"/>
    </w:rPr>
  </w:style>
  <w:style w:type="character" w:styleId="a3">
    <w:name w:val="Hyperlink"/>
    <w:basedOn w:val="a0"/>
    <w:uiPriority w:val="99"/>
    <w:semiHidden/>
    <w:unhideWhenUsed/>
    <w:rsid w:val="00651045"/>
    <w:rPr>
      <w:color w:val="0000FF"/>
      <w:u w:val="single"/>
    </w:rPr>
  </w:style>
  <w:style w:type="paragraph" w:styleId="a4">
    <w:name w:val="Normal (Web)"/>
    <w:basedOn w:val="a"/>
    <w:uiPriority w:val="99"/>
    <w:semiHidden/>
    <w:unhideWhenUsed/>
    <w:rsid w:val="0065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1045"/>
  </w:style>
  <w:style w:type="character" w:styleId="a5">
    <w:name w:val="Strong"/>
    <w:basedOn w:val="a0"/>
    <w:uiPriority w:val="22"/>
    <w:qFormat/>
    <w:rsid w:val="00651045"/>
    <w:rPr>
      <w:b/>
      <w:bCs/>
    </w:rPr>
  </w:style>
</w:styles>
</file>

<file path=word/webSettings.xml><?xml version="1.0" encoding="utf-8"?>
<w:webSettings xmlns:r="http://schemas.openxmlformats.org/officeDocument/2006/relationships" xmlns:w="http://schemas.openxmlformats.org/wordprocessingml/2006/main">
  <w:divs>
    <w:div w:id="1114639194">
      <w:bodyDiv w:val="1"/>
      <w:marLeft w:val="0"/>
      <w:marRight w:val="0"/>
      <w:marTop w:val="0"/>
      <w:marBottom w:val="0"/>
      <w:divBdr>
        <w:top w:val="none" w:sz="0" w:space="0" w:color="auto"/>
        <w:left w:val="none" w:sz="0" w:space="0" w:color="auto"/>
        <w:bottom w:val="none" w:sz="0" w:space="0" w:color="auto"/>
        <w:right w:val="none" w:sz="0" w:space="0" w:color="auto"/>
      </w:divBdr>
      <w:divsChild>
        <w:div w:id="1349520954">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vypolnenii-plana-meropriyatii-uchrezhdenii-zdravookhraneniya-po-uluchsheniyu-demografichesk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3090</Words>
  <Characters>17613</Characters>
  <Application>Microsoft Office Word</Application>
  <DocSecurity>0</DocSecurity>
  <Lines>146</Lines>
  <Paragraphs>41</Paragraphs>
  <ScaleCrop>false</ScaleCrop>
  <Company>Администрация БМР</Company>
  <LinksUpToDate>false</LinksUpToDate>
  <CharactersWithSpaces>20662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2020-03-04T04:24:00Z</dcterms:created>
  <dcterms:modified xsi:type="dcterms:W3CDTF">2020-03-04T04:26:00Z</dcterms:modified>
</cp:coreProperties>
</file>