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D0" w:rsidRPr="00B645D0" w:rsidRDefault="00B645D0" w:rsidP="00B645D0">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5" w:tooltip="Реализация Концепции демографической политики Саратовской области на территории БМР" w:history="1">
        <w:r w:rsidRPr="00B645D0">
          <w:rPr>
            <w:rFonts w:ascii="Verdana" w:eastAsia="Times New Roman" w:hAnsi="Verdana" w:cs="Times New Roman"/>
            <w:b/>
            <w:bCs/>
            <w:color w:val="000000"/>
            <w:spacing w:val="-10"/>
            <w:sz w:val="18"/>
          </w:rPr>
          <w:t>Реализация Концепции демографической политики Саратовской области на территории БМР</w:t>
        </w:r>
      </w:hyperlink>
    </w:p>
    <w:p w:rsidR="00B645D0" w:rsidRPr="00B645D0" w:rsidRDefault="00B645D0" w:rsidP="00B645D0">
      <w:pPr>
        <w:spacing w:after="45" w:line="248" w:lineRule="atLeast"/>
        <w:ind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 последние 15-20 лет демографические показатели как в целом по стране, так и на территории БМР  ухудшились.</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90-е годы  отмечалось значительное снижение коэффициента рождаемости. К 2000г. детское население БМР сократилось на 24% по сравнению с 1995 годом (1995 год – дети 0,15 лет – 52693 чел., 1999г. -42541 чел.).</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Повышение уровня рождаемости в 2011г.  на 19% к 2001г. не обеспечивает простого замещения поколений.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По итогам 6 месяцев 2011г.на территории БМР сложилась следующая демографическая ситуация: рождаемость– 10,02 на тыс.населения (2010г. – 10,7).</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Общая смертность населения составила – 7,36 на 1000 населения (2010г. – 6,94).</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r w:rsidRPr="00B645D0">
        <w:rPr>
          <w:rFonts w:ascii="Verdana" w:eastAsia="Times New Roman" w:hAnsi="Verdana" w:cs="Times New Roman"/>
          <w:b/>
          <w:bCs/>
          <w:color w:val="000000"/>
          <w:sz w:val="17"/>
        </w:rPr>
        <w:t>Прогноз за год показатель- 14,3 на 1000 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Прослеживается четкая динамика замедления роста смертности с 11% (за 4 месяца 2011г.) до 5,9% за 6 месяцев 2011г.</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(Целевой показатель в соответствии с Программой модернизации Саратовской области 14,9).</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Естественная убыль населения составляет – 4,6.</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Структура смертности не изменилась:</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на Iместе – сердечно-сосудистые заболевания – 55,8% (2010г. – 58,6%);</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IIместе – злокачественные новообразования – 14,8% (2010г. – 14,8%);</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IIIместе – травмы и несчастные случаи- 9,9% (2010г. – 9,9%).</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2011 году возросла смертность от неестественных причин на 6,2%, в том числе от транспортных травм в 2 раза с 3,0 до 6,0 на 100 тыс.населения.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Смертность среди лиц трудоспособного возраста составила — 3,26 на1000 населения, что ниже среднеобластного показателя. Позитивным является снижение смертности определяющей демографическую ситуацию района: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от сердечно-сосудистых заболеваний – на 8,4% (96,0 на 100 тыс. 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от злокачественных новообразований на 9,5% (44,0 на 100 тыс. 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 сожалению смертность от внешних причин возросла на 7% (80,0 на 100 тыс.населения).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лечебно-профилактических учреждениях внедрены  порядки оказания медицинской помощи больным кардиологического профиля, больным с сосудистыми заболеваниями головного  мозга.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По рамках программы «Модернизация здравоохранения» в МУЗ «Городская больница № 1» проводится подготовка  к открытию отделения первичной помощи сосудистым больным на базе неврологического отделения № 1, кардиологического отделения № 1, отделения реанимации и интенсивной терапии.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 января 2011г. проводится ежемесячный мониторинг всех случаев инсульта после выписки больных из стационара, с последующим наблюдением на амбулаторном этапе и проведением реабилитационных мероприятий.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Всем больным с острым инфарктом миокарда (при наличии показаний) проводится тромболизис.</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Ежемесячно в ЛПУ, комитете здравоохранения АБМР проводится разбор всех случаев смерти от заболеваний сердечно-сосудистой системы с обязательным проведением анализа причин смерти, качества оказанной медицинской помощи.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 середины июня 2011г. введен в действие план мероприятий по предотвращени роста смертности населения в аномальных климатических условиях.</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Выполнение данных мероприятий привело к сдерживанию роста смертности от сердечно-сосудистых заболеваний.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 6 месяцев показатель смертности составил</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4,11 на 100 тыс. населения</w:t>
      </w:r>
      <w:r w:rsidRPr="00B645D0">
        <w:rPr>
          <w:rFonts w:ascii="Verdana" w:eastAsia="Times New Roman" w:hAnsi="Verdana" w:cs="Times New Roman"/>
          <w:color w:val="000000"/>
          <w:sz w:val="17"/>
          <w:szCs w:val="17"/>
        </w:rPr>
        <w:t>, в том числе зарегистрировано снижение смертности на 8,4% среди лиц трудоспособного возраста в сравнении с аналогичным периодом прошлого года,  показатель составил 0,96 на 100 тысяч 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Оказание онкологической помощи населения БМР проводится в соответствии с порядком и стандартами оказания медицинской помощи онкологическим больным.</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Амбулаторно-поликлиническими учреждениями проводятся профилактические медицинские осмотры населения в смотровых кабинетах, выявлено 5 случаев рака шейки матки.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lastRenderedPageBreak/>
        <w:t>Проводится скрининг рака молочной железы – проведение маммографического обследования – охвачено 17,7% женского населения старше 40 лет по результатам скрининга выявлено 16 случаев рака молочной железы.</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При проведении флюорографии выявлено 9 случаев рака легких. В поликлиниках города  введено обследование населения на онкомаркеры рака матки и рака предстательной железы, у 10% обследованных выявлена положительная реакция на онкомаркеры (180 человек), все   пациенты направлены на консультацию к врачам-специалистам (уролог, гинеколог, онколог).</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Профилактическое выявление онкопатологии в сравнении с 2010 годом увеличилось с 10,0 до 12,3%.</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Продолжена работа в средствах массовой информации: выпущено по проблемам онкологии, сердечно – сосудистой заболеваемости 10 статей в местной печати, проведено 10 передачи по местному телевидению, выпущено 6 радиопередач.</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По итогам проведенной работы за 6 месяцев 2011г. выявлено впервые 424 случая онкопатологии, показатель одногодичной летальности составил 19% от всех взятых на диспансерный учет и ниже областного показателя.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При увеличение смертности от онкопатологнии в целом на 5,5% (показатель смертности 1,1 на 10000 населения), смертность среди лиц трудоспособного возраста уменьшилась на 3,5% и составила 0,4 на 100 тысяч населения), в том числе снижение смертности на 47% зарегистрировано по органам дыхания, на 59% по женской половой сфере.</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 целью улучшения</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материально-технической базы</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учреждений родовспоможения  и детства в 2011-2012г.г. проводятся следующие мероприятия.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2011 году в рамках программы модернизации на проведение капитального ремонта инфекционного корпуса МУЗ «Детская городская больница №1» запланировано выделение средств в размере 27774,98 тыс. руб. в том числе средства ФОМС в размере 25774,98 тыс. руб. и средства местного бюджета в размере 2000,0 тыс. руб. Для полноценного освоения выделяемых средств на данный момент выполнены следующие мероприятия: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18.03.2011 года МУЗ «Детская городская больница №1» размещен запрос котировок с целью заключения контракта на разработку проектно сметной документации  по  капитальному  ремонту инфекционного корпуса МУЗ «Детская городская больница №1».</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По итогу проведенного запроса котировок заключен муниципальный контракт  с ООО «Саратовпромпроект» № 76 от 06.04.2011 года на сумму 485,6 тыс. руб. Проектно сметная документация изготовлена в соответствии с условиями муниципального контракта. Сметные назначения по данной статье расходов доведены до МУЗ «Детская городская больница №1» в размере 486,6 тыс. руб. Объем финансирования для оплаты по данному договору отсутствует.</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10.05.2011 года заключен договор на проведение  экспертизы проектно сметной документации между МУЗ «Детская городская больница№1» и ГАУ «Саратовский региональный центр экспертизы в строительстве» №372-Ц/2011 на сумму 36,0 тыс. руб. В данный момент договор оплачен в полном объеме.</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21.06.2011 подписано экспертное заключение по проверке сметной документации.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29.06.2011 года объявлен аукцион в электронной форме на сумму 27294 тыс. руб. для  размещения заказа по капитальному ремонту инфекционного отделения МУЗ «Детская городская больница №1»</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рамках проводимого аукциона будет заключен муниципальный контракт на следующие виды работ:</w:t>
      </w:r>
    </w:p>
    <w:p w:rsidR="00B645D0" w:rsidRPr="00B645D0" w:rsidRDefault="00B645D0" w:rsidP="00B645D0">
      <w:pPr>
        <w:numPr>
          <w:ilvl w:val="0"/>
          <w:numId w:val="1"/>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Общестроительные работы.</w:t>
      </w:r>
    </w:p>
    <w:p w:rsidR="00B645D0" w:rsidRPr="00B645D0" w:rsidRDefault="00B645D0" w:rsidP="00B645D0">
      <w:pPr>
        <w:numPr>
          <w:ilvl w:val="0"/>
          <w:numId w:val="1"/>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Капитальный ремонт на электроосвещения.</w:t>
      </w:r>
    </w:p>
    <w:p w:rsidR="00B645D0" w:rsidRPr="00B645D0" w:rsidRDefault="00B645D0" w:rsidP="00B645D0">
      <w:pPr>
        <w:numPr>
          <w:ilvl w:val="0"/>
          <w:numId w:val="1"/>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Капитальный ремонт силового электрооборудования.</w:t>
      </w:r>
    </w:p>
    <w:p w:rsidR="00B645D0" w:rsidRPr="00B645D0" w:rsidRDefault="00B645D0" w:rsidP="00B645D0">
      <w:pPr>
        <w:numPr>
          <w:ilvl w:val="0"/>
          <w:numId w:val="1"/>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Капитальный ремонт автоматики.</w:t>
      </w:r>
    </w:p>
    <w:p w:rsidR="00B645D0" w:rsidRPr="00B645D0" w:rsidRDefault="00B645D0" w:rsidP="00B645D0">
      <w:pPr>
        <w:numPr>
          <w:ilvl w:val="0"/>
          <w:numId w:val="1"/>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Капитальный ремонт вентиляции.</w:t>
      </w:r>
    </w:p>
    <w:p w:rsidR="00B645D0" w:rsidRPr="00B645D0" w:rsidRDefault="00B645D0" w:rsidP="00B645D0">
      <w:pPr>
        <w:numPr>
          <w:ilvl w:val="0"/>
          <w:numId w:val="1"/>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Капитальный ремонт горячего и холодного водоснабжения, канализации.</w:t>
      </w:r>
    </w:p>
    <w:p w:rsidR="00B645D0" w:rsidRPr="00B645D0" w:rsidRDefault="00B645D0" w:rsidP="00B645D0">
      <w:pPr>
        <w:numPr>
          <w:ilvl w:val="0"/>
          <w:numId w:val="1"/>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Монтаж лифта.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xml:space="preserve">В рамках программы модернизации на проведение капитального ремонта существующего корпуса МУЗ «Родильный дом» запланировано выделение средств в размере 64225,02 тыс. руб. в том числе средства ФОМС в размере 59225,02 тыс. руб. и средства местного бюджета в размере 5000,0 тыс. руб. В 2011 году средства на проведение капитального ремонта запланированы в объеме ФОМС – 18225,02 </w:t>
      </w:r>
      <w:r w:rsidRPr="00B645D0">
        <w:rPr>
          <w:rFonts w:ascii="Verdana" w:eastAsia="Times New Roman" w:hAnsi="Verdana" w:cs="Times New Roman"/>
          <w:color w:val="000000"/>
          <w:sz w:val="17"/>
          <w:szCs w:val="17"/>
        </w:rPr>
        <w:lastRenderedPageBreak/>
        <w:t>тыс. руб. и  средства местного бюджета – 4000,0 тыс. руб.  Для полноценного освоения выделяемых средств на данный момент выполнены следующие мероприятия: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18.03.2011 года размещен электронный аукцион с целью заключения контракта  на разработку проектно сметной документации  по капитальному ремонту роддома МУЗ «Родильный дом».</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По итогу проведенного аукциона заключен муниципальный контракт с ООО «Научно исследовательский, проектный институт Авангард Урал» №14 от 18.04.2011 года на сумму 1 182 840 рублей.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Сметные назначения по данной статье расходов доведены до МУЗ «Родильный дом» в размере 1 182, 8 тыс. руб. Объем финансирования для оплаты по данному договору отсутствует.</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03.06.2011 года ООО «Научно исследовательский, проектный институт Авангард Урал» проектно сметная документация предоставлена МУЗ «Родильный дом».</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10.06.11 года заключен договор на проведение  экспертизы проектно сметной документации между МУЗ «Родильный дом» и ГАУ «Саратовский региональный центр экспертизы в строительстве» №126-Э-11 на сумму 186,0 тыс. руб. Объем финансирования для оплаты по данному договору отсутствует. В данный момент проводится процедура экспертизы проектно сметной документации.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 2006 года наши лечебные учреждения принимают активное участие в реализации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Национального проекта «Современное здравоохранение», в том числе Программы</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«Родовые сертификаты»</w:t>
      </w:r>
      <w:r w:rsidRPr="00B645D0">
        <w:rPr>
          <w:rFonts w:ascii="Verdana" w:eastAsia="Times New Roman" w:hAnsi="Verdana" w:cs="Times New Roman"/>
          <w:color w:val="000000"/>
          <w:sz w:val="17"/>
          <w:szCs w:val="17"/>
        </w:rPr>
        <w:t>, по которой за 6 месяцев 2011г. женские консультации получили 2877 тыс.рублей, родильный дом – 7272 тыс.рублей, детская поликлиника -2162 тыс.рублей.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Финансовые средства согласно нормативным документам направлены на повышение уровня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зарплаты медицинских работников, повышение качества медицинской помощи.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 6 месяцев 2011 года случаев материнской смертностина территории Балалквского муниципального района не зарегистрировано</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 6 месяцев 2011 года по данным Областного статистического управления  умерло 7 детей до года -  показатель 6,3%о(при областном показателе младенческой смертности 5,4%о), что ниже показателя за 6 месяцев 2010г. на 29%.</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Все случаи смерти детей до одного года жизни разобраны на уровне ЛПУ и комитета здравоохранения АБМР.</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Основными причинами смерти явились:</w:t>
      </w:r>
    </w:p>
    <w:p w:rsidR="00B645D0" w:rsidRPr="00B645D0" w:rsidRDefault="00B645D0" w:rsidP="00B645D0">
      <w:pPr>
        <w:numPr>
          <w:ilvl w:val="0"/>
          <w:numId w:val="2"/>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врожденные пороки развития-3 случая</w:t>
      </w:r>
    </w:p>
    <w:p w:rsidR="00B645D0" w:rsidRPr="00B645D0" w:rsidRDefault="00B645D0" w:rsidP="00B645D0">
      <w:pPr>
        <w:numPr>
          <w:ilvl w:val="0"/>
          <w:numId w:val="2"/>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инфекционные заболевания — 2 случая</w:t>
      </w:r>
    </w:p>
    <w:p w:rsidR="00B645D0" w:rsidRPr="00B645D0" w:rsidRDefault="00B645D0" w:rsidP="00B645D0">
      <w:pPr>
        <w:numPr>
          <w:ilvl w:val="0"/>
          <w:numId w:val="2"/>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болезни перинатального периода — 1 случай</w:t>
      </w:r>
    </w:p>
    <w:p w:rsidR="00B645D0" w:rsidRPr="00B645D0" w:rsidRDefault="00B645D0" w:rsidP="00B645D0">
      <w:pPr>
        <w:numPr>
          <w:ilvl w:val="0"/>
          <w:numId w:val="2"/>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синдром внезапной смерти — 1 случай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При разборе в 50 % выявлен асоциальный фактор, недостатки в работе с социозащитными органами, недостаточная работа по вопросам планирования семьи.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Разработан план мероприятий по снижению младенческой смертности. Дополнительно проведены мероприятия социальной направленности. Во взрослых  поликлиниках района введены ставки социальных работников для оказания медико-социальной поддержки беременных, находящихся в трудной жизненной ситуации.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На базе МУЗ «Родильный дом» при участии женских консультаций, СРЦ «Семья» разработан проект «Вместе с мамой» в рамках Программы ассоциации «Здоровые города России», направленный на профилактику ранних отказов от детей, комплексную поддержку женщин из семей СОП.</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Разработана МЦП «Молодежь БМР» на 2011-2013 гг., куда включена закупка средств контрацепции для женщин группы социального риска с целью предупреждения нежеланных беременностей  и улучшения репродуктивного здоровья.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Ежемесячно к руководителям муниципальных учреждений здравоохранения района применяются штрафные санкции (снятие денежных выплат) по допущенной дефектуре при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оказании медицинской помощи в случае младенческой смертности.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Обследование новорожденных детей на врожденные наследственные заболевания.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За 6 месяцев родилось в районе – 1238 детей, неонатальным скринингом охвачено 1234 ребенка -99,7% (по причине ранней неонатальной смерти не обследованы 4 ребенка). За отчетный период   выявлено 2   ребенка с врожденными заболеваниями (2- адреногенитальный синдром), заместительная терапия  назначена  своевременно.</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lastRenderedPageBreak/>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Проведение аудиологического скрининга: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 6 месяцев аудиологическим скринингом охвачено 1234 детей -99,7% (по причине ранней неонатальной смерти 4 детей). В МУЗ «Родильный дом» обследуются все дети, родившиеся в учреждении (вместе с иногородними)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I– этап МУЗ «Родильный дом» -1234 чел.</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II– этап Сурдологический центр г.Саратова – нуждаются – 11 чел., ( с 2010 года - 5 чел.), обследовано 2 ребенка в июне 2011г., за 6 месяцев 2011г. обследовано 6  детей  -54,5%;</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План по проведению диспансеризации</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детей-сирот и детей, пребывающих в трудной жизненной ситуации</w:t>
      </w:r>
      <w:r w:rsidRPr="00B645D0">
        <w:rPr>
          <w:rFonts w:ascii="Verdana" w:eastAsia="Times New Roman" w:hAnsi="Verdana" w:cs="Times New Roman"/>
          <w:color w:val="000000"/>
          <w:sz w:val="17"/>
          <w:szCs w:val="17"/>
        </w:rPr>
        <w:t>  определен  совместным приказом министерства  здравоохранения области, министерства образования области, министерства социального развития и ТФОМС  от 21.04.2011 года  за № 489/1141/395/74 «О проведении в 2011 году диспансеризации детей-сирот и детей, находящихся в трудной жизненной ситуации».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План проведения диспансеризации детей-сирот и детей, находящихся в трудной жизненной ситуации по  Балаковскому муниципальному  району на 2011 год - 449 детей. Начало проведения диспансеризации -июнь 2011 года.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июне месяце 2011г. осмотрено согласно плана 120 детей, из них</w:t>
      </w:r>
    </w:p>
    <w:p w:rsidR="00B645D0" w:rsidRPr="00B645D0" w:rsidRDefault="00B645D0" w:rsidP="00B645D0">
      <w:pPr>
        <w:numPr>
          <w:ilvl w:val="0"/>
          <w:numId w:val="3"/>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Школа-интернат с. Сулак Краснопартизанского района — 65 детей</w:t>
      </w:r>
    </w:p>
    <w:p w:rsidR="00B645D0" w:rsidRPr="00B645D0" w:rsidRDefault="00B645D0" w:rsidP="00B645D0">
      <w:pPr>
        <w:numPr>
          <w:ilvl w:val="0"/>
          <w:numId w:val="3"/>
        </w:numPr>
        <w:spacing w:after="0" w:line="248" w:lineRule="atLeast"/>
        <w:ind w:left="4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Соц. Приют «Забота» для несовершеннолетних г.Балаково — 55 детей.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Из числа осмотренных детей —  сирот 5 человек, в трудной жизненной ситуации — 115 детей.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Распределение по группам здоровья: 1  - 0</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2  - 50 детей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3 - 70 детей.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июле-августе 2011г. планируется начать</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диспансеризацию 14-летних детей.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современных социально-экономических условиях особо остро стоит вопрос о снижении распространенности искусственных абортов и увеличения рождаемости.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Уровень распространенности абортов</w:t>
      </w:r>
      <w:r w:rsidRPr="00B645D0">
        <w:rPr>
          <w:rFonts w:ascii="Verdana" w:eastAsia="Times New Roman" w:hAnsi="Verdana" w:cs="Times New Roman"/>
          <w:color w:val="000000"/>
          <w:sz w:val="17"/>
          <w:szCs w:val="17"/>
        </w:rPr>
        <w:t>остается одной из наиболее ярких характеристик степени проникновения идей планирования семьи в массовое репродуктивное сознание женщин: переход от аборта к контрацепции и отказа от аборта  в пользу рождения ребенка.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Женское население БМР 119527 чел. (54,7% от всего 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Уровень абортов на территории БМР, несмотря на плавное ежегодное снижение остается выше среднеобластного показателя.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этих условиях важно сохранить службу планирования семьи.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Продолжить активное просвещение детей, подростков и молодежи по вопросам сохранения репродуктивного здоровья, принятия навыков осознанного материнства и отцовства, безопасного сексуального поведения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Выполнено в  течение года по утвержденным планам совместной деятельности с ВУЗами, ССУЗами и средней школы (171  лекция, 245 бесед, 14 к/ф).</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Пропаганда семейных ценностей, здоровья семьи  в средствах массовой информации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(5 передач на местных телеканалах).</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Специалистами кабинетов доверия и кабинетов сохранения и восстановления репродуктивной функции 4095 человек обучены по планированию семьи.</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Социально-консультативные пункты организованные ГУ СО Центр «Семья» при женской консультации МУЗ «Городская поликлиника №3, женской консультации ЦРП (214 чел.) и детской поликлинике (146 чел.) оказывают социальную и консультативную помощь женщинам в период беременности, родов  и послеродовый период, а также семей имеющих детей.</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целях реализации мероприятий по организации медико - социальной поддержки беременных, находящихся в трудной жизненной ситуации, профилактики  и снижения числа абортов, предупреждения социального сиротства во исполнение совместного приказа МЗ СО и МСР СО № 490/396 от 21.04.11г. введены в штаты женских консультаций подведомственных учреждений должности социального работника, как совместительство, на 0,5 ставки специалистов из ГУ СО Центр «Семья».</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lastRenderedPageBreak/>
        <w:t>С 9-15 июня 2011г. наши ЛПУ приняли участие в акции «Подари мне жизнь», инициированной  фондом социально-культурных инициатив, возглавляемой супругой Президента РФ  С.Медведевой (неделя против аборта).</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На базе МУЗ «Родильный дом» проведен день открытых дверей (консультирование всех желающих по вопросам планирования семьи), в МУЗ «ЦРП» - беседы с сотрудниками «О вреде аборта», выезд специалистов  планирования семьи в ЛОЛ «Ласточка» - тема «Осознанное родительство», распространение информационных материалов, подчеркивающих радость материнства, выступление в СМИ.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Кроме того, с целью</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укрепления здоровья</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и</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увеличения продолжительности жизни населения</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проводятся следующие мероприятия: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-лекарственное  обеспечение льготной категории граждан;</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-оздоровительные программы для детей на базе лечебно – профилактических учреждений, детских оздоровительных лагерей, детских площадок при общеобразовательных школах, санаторно-курортное лечение.</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рамках закона Саратовской области от 22.10.1999г. № 60 МЗ СО подлежит обеспечению бесплатными медикаментами 16345 человек, страдающих хроническими заболеваниями.</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Назначение лекарственных средств производится согласно стандартам оказания медицинской помощи, высокоэффективными медикаментами.</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Выписка рецептов производится автоматизировано во всех ЛПУ установлена соответствующая программа, что  позволяет в короткие сроки и без ошибок оформить льготный рецепт.</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С целью приближения лекарственной помощи к населению увеличено  количество аптек, отпускающих льготные лекарства с 3 до 5.</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За 6 месяцев текущего года для обеспечения пациентов с хроническими заболеваниями израсходовано 13238,5 тыс.рублей (больше на 23% по сравнению с аналогичным периодов прошлого года).</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Также увеличилась средняя стоимость одного льготного рецепта с 580,75 до 730,4 руб.</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период зимних каникул  2010-11гг. оздоровлено на территории Балаковского муниципального района 434 ребенка, из них детей-сирот- 26, детей-инвалидов-32, детей ликвидаторов Чернобыльской аварии- 3, детей из семей СОП- 24, из ССР- 30, детей диспансерной группы- 319. </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Дети получили оздоровление : в детском стационаре-  22 ребенка, дневной стационар детской поликлиники — 68 детей, местные санатории — 216 детей. </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июне 2011 года на территории Балаковского муниципального района функционировало четыре  загородных детских оздоровительных лагеря, 26  детских оздоровительных площадок с дневным пребыванием в городе (2010г.-25) и 17 в селах (2010г.-7).  В загородных лагерях получили оздоровление 922 ребенка (2010г.-728). На детских площадках при общеобразовательных школах-  2043 ребенка (2010г.-1872),  из них 283 ребенка проживает в селах района (2010г.-227).  Из центра «Семья» оздоровлено всего 325 детей (2010г.-325), из них 165 – проживают в селе (2010г.-105). 14  детей из центра реабилитации для несовершеннолетних с приютом «Забота» (оздоровительные площадки города).</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Получили санаторно - курортное лечение в местных санаториях в июне месяце-157 детей диспансерной группы и 21 ребенок из семей социально-опасного положения.</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июне оздоровлено на летних оздоровительных площадках с дневным пребыванием: опекаемых-26 детей, инвалидов-2 ,сирот-9, детей из многодетных семей-110,  из малообеспеченных семей-342 ребенка.</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 С 01.06.2011г. на базе детского реабилитационного центра МУЗ «Детская городская поликлиника», отделения восстановительного лечения получили  комплексное лечение 397 детей, на базе дневного стационара детской поликлиники облечено 120 детей. Дети получали специализированное медикаментозное лечение, физиолечение, массаж, гало- и лазеротерапию. Лечебной физкультурой занимались 370 детей.</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 Среди детей, находящихся на оздоровлении в загородных оздоровительных лагерях, на детских площадках более половины состоят на диспансерном учете у врачей-специалистов, всего 2056  детей диспансерной группы.</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Медицинское обслуживание в оздоровительных учреждениях осуществляется врачами-педиатрами, фельдшерами школ МУЗ «Детская городская поликлиника». Кадры по летней оздоровительной работе прошли подготовку на базе областной детской клинической больницы, МУЗ «Детская городская поликлиника», Роспотребнадзора г.Балаково.</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lastRenderedPageBreak/>
        <w:t>В целях</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u w:val="single"/>
        </w:rPr>
        <w:t>реализации комплекса мер, направленных на формирование ЗОЖ</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у граждан с 01.12.2009г. в нашем городе работает центр здоровья для взрослых на базе «Центра медицинской профилактики».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2011 году за 6 месяцев проведено комплексных обследований 7577.</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Организовано рабочее место гигиениста стоматологического.</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Начата реализация проектов «Территория здоровья».</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Обследованы студенты и преподаватели медицинского колледжа, социальные работники, студенты БИТТиУ.</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По результатам обследования на установленном оборудовании выдаются паспорта здоровья.</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IIIквартале 2011 года планируется организация записи на обследование  через сайт учреждения.</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Планируется открытие офтальмологического кабинета.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 декабря 2010г. начал работать Детский центр здоровья на базе МУЗ «Детская городская поликлиника».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 6 месяцев в Центре Здоровья для детей обследовано  3420 человек..</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Выявлено детей с патологией и направлено к участковому врачу – 1602 чел.</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Получен мобильный центр здоровья для детей, оснащенный таким же оборудованием для скрининг-обследования детей и подростков Балаково и Балаковского района.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Сделан выезд в филиал МУЗ «Детская городская поликлиника» -обследовано 287 детей. В летнее время обследуются дети ДОЛ «Ласточка». С 14 июня выезды в лагеря осуществляются ежедневно.</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С целью осуществления информационной кампании</w:t>
      </w:r>
      <w:r w:rsidRPr="00B645D0">
        <w:rPr>
          <w:rFonts w:ascii="Verdana" w:eastAsia="Times New Roman" w:hAnsi="Verdana" w:cs="Times New Roman"/>
          <w:color w:val="000000"/>
          <w:sz w:val="17"/>
          <w:szCs w:val="17"/>
        </w:rPr>
        <w:t>, направленной на формирование ЗОЖ, в том числе снижение потребления алкоголя и табака проведены следующие мероприятия.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За 6 мес.2011г. организовано  в</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СМИ</w:t>
      </w:r>
      <w:r w:rsidRPr="00B645D0">
        <w:rPr>
          <w:rFonts w:ascii="Verdana" w:eastAsia="Times New Roman" w:hAnsi="Verdana" w:cs="Times New Roman"/>
          <w:color w:val="000000"/>
          <w:sz w:val="17"/>
          <w:szCs w:val="17"/>
        </w:rPr>
        <w:t>: печать-102 статьи, ТВ-16 сюжетов, радио-30 сообщений, итого 148, кратность предоставления информационного материала составила 24,6 раз в мес. Регулярно предоставляется информация  в интернет-газету «Балаково-медиа», на сайт АБМР, создан сайт МУЗ «ЦМП» (новостная лента).</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Разработаны информационные листы :</w:t>
      </w:r>
      <w:r w:rsidRPr="00B645D0">
        <w:rPr>
          <w:rFonts w:ascii="Verdana" w:eastAsia="Times New Roman" w:hAnsi="Verdana" w:cs="Times New Roman"/>
          <w:color w:val="000000"/>
          <w:sz w:val="17"/>
        </w:rPr>
        <w:t> </w:t>
      </w:r>
      <w:r w:rsidRPr="00B645D0">
        <w:rPr>
          <w:rFonts w:ascii="Verdana" w:eastAsia="Times New Roman" w:hAnsi="Verdana" w:cs="Times New Roman"/>
          <w:i/>
          <w:iCs/>
          <w:color w:val="000000"/>
          <w:sz w:val="17"/>
        </w:rPr>
        <w:t>«Похититель рассудка», «Будущее без дыма», «Стройная фигура-это реально», «Холестерин-под контроль», «6 правил профилактики пищевых отравлений», «9 советов преодоления повышенной температуры», «Лето-друг инфекции?», «Защитите себя и своих близких», «Победим туберкулез вместе», «Питание при сахарном диабете»; </w:t>
      </w:r>
      <w:r w:rsidRPr="00B645D0">
        <w:rPr>
          <w:rFonts w:ascii="Verdana" w:eastAsia="Times New Roman" w:hAnsi="Verdana" w:cs="Times New Roman"/>
          <w:b/>
          <w:bCs/>
          <w:i/>
          <w:iCs/>
          <w:color w:val="000000"/>
          <w:sz w:val="17"/>
        </w:rPr>
        <w:t>анкеты</w:t>
      </w:r>
      <w:r w:rsidRPr="00B645D0">
        <w:rPr>
          <w:rFonts w:ascii="Verdana" w:eastAsia="Times New Roman" w:hAnsi="Verdana" w:cs="Times New Roman"/>
          <w:i/>
          <w:iCs/>
          <w:color w:val="000000"/>
          <w:sz w:val="17"/>
        </w:rPr>
        <w:t>- «Я выбираю - здоровье» , «Победим туберкулез вместе», «Женское здоровье».</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МУЗ «ЦМП»  совместно с КО АБМР реализуют профилактическую программу «Основы ЗОЖ»</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на базе СОШ</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города и района, в 2010-2011уч. году проведено  51   занятие, охват  1588  чел.</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период</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летней оздоровительной кампании</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гигиеническое обучение проводится на оздоровительных площадках, в  центре вечернего досуга, на базе ДОЛ: в течение первой смены проведено 13  занятий на оздоровительных площадках СОШ № 6, 10, 19, 22, 27, 28, охват 299  чел.,  15  занятий в ДОЛ, охват  364  чел, занятие в центре вечернего досуга, охват 19 чел.</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Санитарно-просветительная работа проводится с учащимися</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профессиональных училищ, техникума</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в виде занятий-тренингов «Умей сказать нет». В проведении занятий участвуют: врач-методист Центра медицинской профилактики, врач-нарколог психоневрологического диспансера, представитель федеральной службы по контролю за незаконным оборотом наркотиков, инструктор по гигиеническому воспитанию. В 2011г. – 54 занятия, охват 918 чел.</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rPr>
        <w:t>Центре здоровья</w:t>
      </w:r>
      <w:r w:rsidRPr="00B645D0">
        <w:rPr>
          <w:rFonts w:ascii="Verdana" w:eastAsia="Times New Roman" w:hAnsi="Verdana" w:cs="Times New Roman"/>
          <w:color w:val="000000"/>
          <w:sz w:val="17"/>
        </w:rPr>
        <w:t> </w:t>
      </w:r>
      <w:r w:rsidRPr="00B645D0">
        <w:rPr>
          <w:rFonts w:ascii="Verdana" w:eastAsia="Times New Roman" w:hAnsi="Verdana" w:cs="Times New Roman"/>
          <w:color w:val="000000"/>
          <w:sz w:val="17"/>
          <w:szCs w:val="17"/>
        </w:rPr>
        <w:t>проведено7577 комплексных обследований и дано индивидуальных консультаций,  121 занятие  в школах здоровья , охват 1613  чел.</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В комплекс мер по улучшению демографии входят также повышение доступности высокотехнологичной медицинской помощи, проведение дополнительной диспансеризации работающего населения, дополнительная иммунизация населения и мероприятия по профилактике ВИЧ-инфекции и туберкулеза.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листе ожидания на получение высокотехнологичной медицинской помощи состоит 287 человек, в том числе взрослых -223 чел., детей 64 чел., получили высокотехнологичную медицинскую помощь 174 чел., в том числе 129 взрослых, 45 детей.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xml:space="preserve"> На Iполугодие 2011г. (апрель, май, июнь) запланирован план по дополнительной диспансеризации 1595 чел., осмотрено 1569 или 98,4% от плана трех месяцев. Не осмотрено 26 </w:t>
      </w:r>
      <w:r w:rsidRPr="00B645D0">
        <w:rPr>
          <w:rFonts w:ascii="Verdana" w:eastAsia="Times New Roman" w:hAnsi="Verdana" w:cs="Times New Roman"/>
          <w:color w:val="000000"/>
          <w:sz w:val="17"/>
          <w:szCs w:val="17"/>
        </w:rPr>
        <w:lastRenderedPageBreak/>
        <w:t>человек, что было связано с неявкой на осмотр запланированных работников. Для полного выполнения годового  плана 26 человек включены (добавлены) в план на июль 2011 года.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Дополнительная иммунизация проводится в соответствии с планами прививок и поставками вакцины:</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рамках Приоритетного проекта проводится вакцинация детей первого года жизни инактивированной полиомиелитной вакциной, за 6 месяцев 2011г. трехкратно привито 836 человек - 95% от плана, двукратно - 1442 человек — 60,6%.</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Проведена третья вакцинация взрослых до 55лет против вирусного гепатита В из плана 2010года, привито 1550 человек, 100% от плана.</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Вакцинация против гепатита В и кори взрослых по плану 2011года не проводилась,  так как не было поставок вакцины.</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                        Профилактика ВИЧ-инфекции.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В рамках проекта проводится обследование подлежащего контингента на ВИЧ-инфекцию. С помощью тест-систем, полученных в рамках проекта обследовано - 12746 человек, что составляет 5,8% населения БМР.</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ВИЧ- инфицированные обследуются на вирусную нагрузку и иммунный статус , по результатам исследования назначается антиретровирусная терапия, за весь период реализации проекта лечение получало -317 человек. На 01.06.2011г. АРВТ получает - 237 ВИЧ-инфицированный, что составляет 70,5% от подлежащих и 96,3% от приверженных к лечению.</w:t>
      </w:r>
    </w:p>
    <w:p w:rsidR="00B645D0" w:rsidRPr="00B645D0" w:rsidRDefault="00B645D0" w:rsidP="00B645D0">
      <w:pPr>
        <w:spacing w:after="0"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i/>
          <w:iCs/>
          <w:color w:val="000000"/>
          <w:sz w:val="17"/>
        </w:rPr>
        <w:t>В рамках Проекта проводится химиопрофилактика вертикального пути передачи ВИЧ-инфекции: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На 01.07.2011г трехэтапной химиопрофилактикой охвачено 92,3%, не получила химиопрофилактику во время беременности 1 женщина, так как не стояла на учете по беременности. Роженицы и новорожденные получили химиопрофилактику в 100%.</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Демографическая ситуация на территории БМР анализируется в ЛПУ и КЗ АБМР ежемесячно с разбором причин в случае отклонения от плановых показателей.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Ежеквартально проводятся медицинские советы с анализом демографической ситуации на территории БМР.</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Кроме того стимулирующие выплаты руководителям медицинских учреждений проводятся на основании критериев, включающих демографические показатели.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r w:rsidRPr="00B645D0">
        <w:rPr>
          <w:rFonts w:ascii="Verdana" w:eastAsia="Times New Roman" w:hAnsi="Verdana" w:cs="Times New Roman"/>
          <w:color w:val="000000"/>
          <w:sz w:val="17"/>
        </w:rPr>
        <w:t> </w:t>
      </w:r>
      <w:r w:rsidRPr="00B645D0">
        <w:rPr>
          <w:rFonts w:ascii="Verdana" w:eastAsia="Times New Roman" w:hAnsi="Verdana" w:cs="Times New Roman"/>
          <w:b/>
          <w:bCs/>
          <w:color w:val="000000"/>
          <w:sz w:val="17"/>
          <w:u w:val="single"/>
        </w:rPr>
        <w:t>Задачи IIполугодия 2011г.:</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Выполнение мероприятий Национального проекта и программы модернизации здравоохранения БМР в целях достижения основных целевых показателей:</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 общая смертность – 14,2 на 1000  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 смертность в трудоспособном возрасте от болезней системы кровообращения – 178,0 на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100 тыс.населения;</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 младенческая смертность – 6,7 на 1000 родившихся живыми.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color w:val="000000"/>
          <w:sz w:val="17"/>
          <w:szCs w:val="17"/>
        </w:rPr>
        <w:t> </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Ольга Емельяненко,</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председатель комитета</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здравоохранения администрации</w:t>
      </w:r>
    </w:p>
    <w:p w:rsidR="00B645D0" w:rsidRPr="00B645D0" w:rsidRDefault="00B645D0" w:rsidP="00B645D0">
      <w:pPr>
        <w:spacing w:after="45" w:line="248" w:lineRule="atLeast"/>
        <w:ind w:left="57" w:firstLine="300"/>
        <w:jc w:val="both"/>
        <w:rPr>
          <w:rFonts w:ascii="Verdana" w:eastAsia="Times New Roman" w:hAnsi="Verdana" w:cs="Times New Roman"/>
          <w:color w:val="000000"/>
          <w:sz w:val="17"/>
          <w:szCs w:val="17"/>
        </w:rPr>
      </w:pPr>
      <w:r w:rsidRPr="00B645D0">
        <w:rPr>
          <w:rFonts w:ascii="Verdana" w:eastAsia="Times New Roman" w:hAnsi="Verdana" w:cs="Times New Roman"/>
          <w:b/>
          <w:bCs/>
          <w:color w:val="000000"/>
          <w:sz w:val="17"/>
        </w:rPr>
        <w:t>Балаковского муниципального района:  </w:t>
      </w:r>
    </w:p>
    <w:p w:rsidR="002E76ED" w:rsidRDefault="002E76ED"/>
    <w:sectPr w:rsidR="002E7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6822"/>
    <w:multiLevelType w:val="multilevel"/>
    <w:tmpl w:val="7E4E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40222F"/>
    <w:multiLevelType w:val="multilevel"/>
    <w:tmpl w:val="AB2A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0176B"/>
    <w:multiLevelType w:val="multilevel"/>
    <w:tmpl w:val="0F18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45D0"/>
    <w:rsid w:val="002E76ED"/>
    <w:rsid w:val="00B6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64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45D0"/>
    <w:rPr>
      <w:rFonts w:ascii="Times New Roman" w:eastAsia="Times New Roman" w:hAnsi="Times New Roman" w:cs="Times New Roman"/>
      <w:b/>
      <w:bCs/>
      <w:sz w:val="27"/>
      <w:szCs w:val="27"/>
    </w:rPr>
  </w:style>
  <w:style w:type="character" w:styleId="a3">
    <w:name w:val="Hyperlink"/>
    <w:basedOn w:val="a0"/>
    <w:uiPriority w:val="99"/>
    <w:semiHidden/>
    <w:unhideWhenUsed/>
    <w:rsid w:val="00B645D0"/>
    <w:rPr>
      <w:color w:val="0000FF"/>
      <w:u w:val="single"/>
    </w:rPr>
  </w:style>
  <w:style w:type="paragraph" w:styleId="a4">
    <w:name w:val="Normal (Web)"/>
    <w:basedOn w:val="a"/>
    <w:uiPriority w:val="99"/>
    <w:semiHidden/>
    <w:unhideWhenUsed/>
    <w:rsid w:val="00B645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45D0"/>
    <w:rPr>
      <w:b/>
      <w:bCs/>
    </w:rPr>
  </w:style>
  <w:style w:type="character" w:customStyle="1" w:styleId="apple-converted-space">
    <w:name w:val="apple-converted-space"/>
    <w:basedOn w:val="a0"/>
    <w:rsid w:val="00B645D0"/>
  </w:style>
  <w:style w:type="character" w:styleId="a6">
    <w:name w:val="Emphasis"/>
    <w:basedOn w:val="a0"/>
    <w:uiPriority w:val="20"/>
    <w:qFormat/>
    <w:rsid w:val="00B645D0"/>
    <w:rPr>
      <w:i/>
      <w:iCs/>
    </w:rPr>
  </w:style>
</w:styles>
</file>

<file path=word/webSettings.xml><?xml version="1.0" encoding="utf-8"?>
<w:webSettings xmlns:r="http://schemas.openxmlformats.org/officeDocument/2006/relationships" xmlns:w="http://schemas.openxmlformats.org/wordprocessingml/2006/main">
  <w:divs>
    <w:div w:id="87390563">
      <w:bodyDiv w:val="1"/>
      <w:marLeft w:val="0"/>
      <w:marRight w:val="0"/>
      <w:marTop w:val="0"/>
      <w:marBottom w:val="0"/>
      <w:divBdr>
        <w:top w:val="none" w:sz="0" w:space="0" w:color="auto"/>
        <w:left w:val="none" w:sz="0" w:space="0" w:color="auto"/>
        <w:bottom w:val="none" w:sz="0" w:space="0" w:color="auto"/>
        <w:right w:val="none" w:sz="0" w:space="0" w:color="auto"/>
      </w:divBdr>
      <w:divsChild>
        <w:div w:id="767196315">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admbal.ru/page/realizatsiya-kontseptsii-demograficheskoi-politiki-saratovskoi-oblasti-na-territorii-bm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3847</Words>
  <Characters>21929</Characters>
  <Application>Microsoft Office Word</Application>
  <DocSecurity>0</DocSecurity>
  <Lines>182</Lines>
  <Paragraphs>51</Paragraphs>
  <ScaleCrop>false</ScaleCrop>
  <Company>Администрация БМР</Company>
  <LinksUpToDate>false</LinksUpToDate>
  <CharactersWithSpaces>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2020-03-04T05:25:00Z</dcterms:created>
  <dcterms:modified xsi:type="dcterms:W3CDTF">2020-03-04T05:26:00Z</dcterms:modified>
</cp:coreProperties>
</file>