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hd w:val="clear" w:color="auto" w:fill="FFFFFF"/>
        <w:tabs>
          <w:tab w:val="center" w:pos="4960"/>
        </w:tabs>
        <w:spacing w:line="240" w:lineRule="auto"/>
        <w:ind w:firstLine="0"/>
        <w:rPr>
          <w:rFonts w:ascii="PT Astra Serif" w:hAnsi="PT Astra Serif"/>
          <w:b/>
          <w:color w:val="000000"/>
          <w:spacing w:val="-7"/>
          <w:sz w:val="28"/>
          <w:szCs w:val="28"/>
        </w:rPr>
      </w:pPr>
      <w:r>
        <w:rPr>
          <w:rFonts w:ascii="PT Astra Serif" w:hAnsi="PT Astra Serif"/>
          <w:b/>
          <w:color w:val="000000"/>
          <w:spacing w:val="-7"/>
          <w:sz w:val="28"/>
          <w:szCs w:val="28"/>
        </w:rPr>
        <w:tab/>
        <w:t>Выступление</w:t>
      </w:r>
    </w:p>
    <w:p>
      <w:pPr>
        <w:shd w:val="clear" w:color="auto" w:fill="FFFFFF"/>
        <w:spacing w:line="240" w:lineRule="auto"/>
        <w:ind w:firstLine="0"/>
        <w:jc w:val="center"/>
        <w:rPr>
          <w:rFonts w:ascii="PT Astra Serif" w:hAnsi="PT Astra Serif"/>
          <w:b/>
          <w:color w:val="000000"/>
          <w:spacing w:val="-7"/>
          <w:sz w:val="28"/>
          <w:szCs w:val="28"/>
        </w:rPr>
      </w:pPr>
      <w:r>
        <w:rPr>
          <w:rFonts w:ascii="PT Astra Serif" w:hAnsi="PT Astra Serif"/>
          <w:b/>
          <w:color w:val="000000"/>
          <w:spacing w:val="-7"/>
          <w:sz w:val="28"/>
          <w:szCs w:val="28"/>
        </w:rPr>
        <w:t>Бондаренко И.П. и.о. начальника отдела сельского хозяйства администрации Балаковского муниципального района по теме:</w:t>
      </w:r>
    </w:p>
    <w:p>
      <w:pPr>
        <w:shd w:val="clear" w:color="auto" w:fill="FFFFFF"/>
        <w:spacing w:line="240" w:lineRule="auto"/>
        <w:ind w:firstLine="0"/>
        <w:jc w:val="center"/>
        <w:rPr>
          <w:rFonts w:ascii="PT Astra Serif" w:hAnsi="PT Astra Serif"/>
          <w:b/>
          <w:color w:val="000000"/>
          <w:spacing w:val="-7"/>
          <w:sz w:val="28"/>
          <w:szCs w:val="28"/>
        </w:rPr>
      </w:pPr>
      <w:r>
        <w:rPr>
          <w:rFonts w:ascii="PT Astra Serif" w:hAnsi="PT Astra Serif"/>
          <w:b/>
          <w:color w:val="000000"/>
          <w:spacing w:val="-7"/>
          <w:sz w:val="28"/>
          <w:szCs w:val="28"/>
        </w:rPr>
        <w:t>«О предварительной оценке итогов развития агропромышленного комплекса Балаковского муниципального района в 2023 году»</w:t>
      </w:r>
    </w:p>
    <w:p>
      <w:pPr>
        <w:shd w:val="clear" w:color="auto" w:fill="FFFFFF"/>
        <w:spacing w:line="240" w:lineRule="auto"/>
        <w:ind w:left="5" w:right="-1" w:hanging="5"/>
        <w:rPr>
          <w:rFonts w:ascii="PT Astra Serif" w:hAnsi="PT Astra Serif"/>
          <w:bCs/>
          <w:sz w:val="28"/>
          <w:szCs w:val="28"/>
          <w:u w:val="single"/>
        </w:rPr>
      </w:pPr>
      <w:r>
        <w:rPr>
          <w:rFonts w:ascii="PT Astra Serif" w:hAnsi="PT Astra Serif"/>
          <w:bCs/>
          <w:sz w:val="28"/>
          <w:szCs w:val="28"/>
          <w:u w:val="single"/>
        </w:rPr>
        <w:t>Слайд 1</w:t>
      </w:r>
    </w:p>
    <w:p>
      <w:pPr>
        <w:shd w:val="clear" w:color="auto" w:fill="FFFFFF"/>
        <w:spacing w:line="240" w:lineRule="auto"/>
        <w:ind w:left="5" w:right="-1" w:hanging="5"/>
        <w:rPr>
          <w:rFonts w:ascii="PT Astra Serif" w:hAnsi="PT Astra Serif"/>
          <w:b/>
          <w:color w:val="000000"/>
          <w:spacing w:val="-7"/>
          <w:sz w:val="28"/>
          <w:szCs w:val="28"/>
          <w:highlight w:val="yellow"/>
        </w:rPr>
      </w:pPr>
      <w:r>
        <w:rPr>
          <w:rFonts w:ascii="PT Astra Serif" w:hAnsi="PT Astra Serif"/>
          <w:bCs/>
          <w:sz w:val="28"/>
          <w:szCs w:val="28"/>
          <w:u w:val="single"/>
        </w:rPr>
        <w:t>Слайд 2</w:t>
      </w:r>
    </w:p>
    <w:p>
      <w:pPr>
        <w:shd w:val="clear" w:color="auto" w:fill="FFFFFF"/>
        <w:spacing w:line="240" w:lineRule="auto"/>
        <w:jc w:val="center"/>
        <w:rPr>
          <w:rFonts w:ascii="PT Astra Serif" w:hAnsi="PT Astra Serif"/>
          <w:color w:val="000000"/>
          <w:spacing w:val="-7"/>
          <w:sz w:val="28"/>
          <w:szCs w:val="28"/>
        </w:rPr>
      </w:pPr>
      <w:r>
        <w:rPr>
          <w:rFonts w:ascii="PT Astra Serif" w:hAnsi="PT Astra Serif"/>
          <w:b/>
          <w:color w:val="000000"/>
          <w:spacing w:val="-7"/>
          <w:sz w:val="28"/>
          <w:szCs w:val="28"/>
        </w:rPr>
        <w:t>Добрый день, уважаемые коллеги!</w:t>
      </w:r>
    </w:p>
    <w:p>
      <w:pPr>
        <w:spacing w:line="240" w:lineRule="auto"/>
        <w:rPr>
          <w:rFonts w:ascii="PT Astra Serif" w:hAnsi="PT Astra Serif"/>
          <w:spacing w:val="3"/>
          <w:sz w:val="28"/>
          <w:szCs w:val="28"/>
        </w:rPr>
      </w:pPr>
      <w:r>
        <w:rPr>
          <w:rFonts w:ascii="PT Astra Serif" w:hAnsi="PT Astra Serif"/>
          <w:spacing w:val="3"/>
          <w:sz w:val="28"/>
          <w:szCs w:val="28"/>
        </w:rPr>
        <w:t>Представляю вашему вниманию предварительную оценку итогов развития агропромышленного комплекса Балаковского муниципального района в 2023 году и задачи, которые мы ставим перед собой на будущий год.</w:t>
      </w:r>
    </w:p>
    <w:p>
      <w:pPr>
        <w:spacing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Основные направления развития агропромышленного комплекса района: растениеводство, животноводство и перерабатывающая промышленность.</w:t>
      </w:r>
    </w:p>
    <w:p>
      <w:pPr>
        <w:spacing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Продукция растениеводства – это зерновые, зернобобовые, технические, кормовые культуры, овощи в защищенном и открытом грунте.</w:t>
      </w:r>
    </w:p>
    <w:p>
      <w:pPr>
        <w:spacing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Отрасль животноводства – это разведение крупного рогатого скота мясного и молочного направления продуктивности, свиноводство, овцеводство, птицеводство.</w:t>
      </w:r>
    </w:p>
    <w:p>
      <w:pPr>
        <w:spacing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Пищевая и перерабатывающая промышленность – это производство хлеба и хлебобулочных изделий, мясной и молочной продукции, масла растительного, кондитерских изделий, безалкогольных напитков.</w:t>
      </w:r>
    </w:p>
    <w:p>
      <w:pPr>
        <w:shd w:val="clear" w:color="auto" w:fill="FFFFFF"/>
        <w:spacing w:line="240" w:lineRule="auto"/>
        <w:ind w:left="5" w:right="-1" w:hanging="5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>Слайд 3</w:t>
      </w:r>
    </w:p>
    <w:p>
      <w:pPr>
        <w:spacing w:line="240" w:lineRule="auto"/>
        <w:ind w:left="5" w:right="-2" w:firstLine="704"/>
        <w:rPr>
          <w:rFonts w:ascii="PT Astra Serif" w:hAnsi="PT Astra Serif"/>
          <w:i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По предварительной оценке, объем валовой продукции сельского хозяйства в 2023 году составит 8 млрд.рублей. </w:t>
      </w:r>
      <w:r>
        <w:rPr>
          <w:rFonts w:ascii="PT Astra Serif" w:hAnsi="PT Astra Serif"/>
          <w:i/>
          <w:sz w:val="28"/>
          <w:szCs w:val="28"/>
        </w:rPr>
        <w:t xml:space="preserve">(90% к уровню прошлого года) (2022 год – 8,7 млрд.рублей). </w:t>
      </w:r>
    </w:p>
    <w:p>
      <w:pPr>
        <w:shd w:val="clear" w:color="auto" w:fill="FFFFFF"/>
        <w:spacing w:line="240" w:lineRule="auto"/>
        <w:ind w:left="5" w:right="-1" w:hanging="5"/>
        <w:rPr>
          <w:rFonts w:ascii="PT Astra Serif" w:hAnsi="PT Astra Serif"/>
          <w:i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>Слайд 4</w:t>
      </w:r>
    </w:p>
    <w:p>
      <w:pPr>
        <w:shd w:val="clear" w:color="auto" w:fill="FFFFFF"/>
        <w:tabs>
          <w:tab w:val="center" w:pos="4960"/>
        </w:tabs>
        <w:spacing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Общая численность занятых в сфере агропромышленного комплекса района – более 3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тыс. человек.</w:t>
      </w:r>
    </w:p>
    <w:p>
      <w:pPr>
        <w:spacing w:line="240" w:lineRule="auto"/>
        <w:ind w:left="5" w:right="-2" w:firstLine="704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текущем году средняя заработная плата работников сельскохозяйственных предприятий, в сравнении с 2022 годом, увеличилась почти на 20% и составила 45 тысяч рублей.</w:t>
      </w:r>
    </w:p>
    <w:p>
      <w:pPr>
        <w:shd w:val="clear" w:color="auto" w:fill="FFFFFF"/>
        <w:spacing w:line="240" w:lineRule="auto"/>
        <w:ind w:left="5" w:right="-1" w:hanging="5"/>
        <w:rPr>
          <w:rFonts w:ascii="PT Astra Serif" w:hAnsi="PT Astra Serif"/>
          <w:bCs/>
          <w:sz w:val="28"/>
          <w:szCs w:val="28"/>
          <w:u w:val="single"/>
        </w:rPr>
      </w:pPr>
    </w:p>
    <w:p>
      <w:pPr>
        <w:shd w:val="clear" w:color="auto" w:fill="FFFFFF"/>
        <w:spacing w:line="240" w:lineRule="auto"/>
        <w:ind w:left="5" w:right="-1" w:hanging="5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bCs/>
          <w:sz w:val="28"/>
          <w:szCs w:val="28"/>
          <w:u w:val="single"/>
        </w:rPr>
        <w:t>Слайд 5</w:t>
      </w:r>
    </w:p>
    <w:p>
      <w:pPr>
        <w:spacing w:line="240" w:lineRule="auto"/>
        <w:ind w:left="5" w:right="-2" w:firstLine="704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>Согласно информации, представленной Межрайонной ИФНС РФ №2 по Саратовской области, за 11 месяцев 2023 года сумма фактически уплаченного сельхозтоваропроизводителями района ЕСХН составила 33,1 млн.рублей. (107,5% к уровню 2022 года).</w:t>
      </w:r>
    </w:p>
    <w:p>
      <w:pPr>
        <w:spacing w:line="240" w:lineRule="auto"/>
        <w:ind w:right="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 начала года сельхозтоваропроизводители района получили 73,5 млн.руб. средств государственной поддержки, в том числе:</w:t>
      </w:r>
    </w:p>
    <w:p>
      <w:pPr>
        <w:spacing w:line="240" w:lineRule="auto"/>
        <w:ind w:right="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- 70,8 млн.руб. на поддержку растениеводства,</w:t>
      </w:r>
    </w:p>
    <w:p>
      <w:pPr>
        <w:spacing w:line="240" w:lineRule="auto"/>
        <w:ind w:right="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- 1,9 млн.руб. на поддержку животноводства,</w:t>
      </w:r>
    </w:p>
    <w:p>
      <w:pPr>
        <w:spacing w:line="240" w:lineRule="auto"/>
        <w:ind w:right="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- 0,3 млн.руб. на поддержку потребительской кооперации,</w:t>
      </w:r>
    </w:p>
    <w:p>
      <w:pPr>
        <w:spacing w:line="240" w:lineRule="auto"/>
        <w:ind w:right="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- 0,6 млн.руб. на поддержку молодых специалистов в АПК.</w:t>
      </w:r>
    </w:p>
    <w:p>
      <w:pPr>
        <w:shd w:val="clear" w:color="auto" w:fill="FFFFFF"/>
        <w:spacing w:line="240" w:lineRule="auto"/>
        <w:ind w:left="5" w:right="-1" w:hanging="5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>Слайд 6</w:t>
      </w:r>
    </w:p>
    <w:p>
      <w:pPr>
        <w:shd w:val="clear" w:color="auto" w:fill="FFFFFF"/>
        <w:tabs>
          <w:tab w:val="center" w:pos="4960"/>
        </w:tabs>
        <w:spacing w:line="240" w:lineRule="auto"/>
        <w:rPr>
          <w:rFonts w:ascii="PT Astra Serif" w:hAnsi="PT Astra Serif"/>
          <w:i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Очень востребована поддержка в виде льготных кредитов (по ставке до 5%). За 9 месяцев 2023 года сельхозтоваропроизводители района получили 357 млн. рублей </w:t>
      </w:r>
      <w:r>
        <w:rPr>
          <w:rFonts w:ascii="PT Astra Serif" w:hAnsi="PT Astra Serif"/>
          <w:sz w:val="28"/>
          <w:szCs w:val="28"/>
        </w:rPr>
        <w:lastRenderedPageBreak/>
        <w:t xml:space="preserve">краткосрочных и инвестиционных кредитов </w:t>
      </w:r>
      <w:r>
        <w:rPr>
          <w:rFonts w:ascii="PT Astra Serif" w:hAnsi="PT Astra Serif"/>
          <w:i/>
          <w:sz w:val="28"/>
          <w:szCs w:val="28"/>
        </w:rPr>
        <w:t>(82,7% к уровню 2022 года) (431,7 млн.рублей).</w:t>
      </w:r>
    </w:p>
    <w:p>
      <w:pPr>
        <w:shd w:val="clear" w:color="auto" w:fill="FFFFFF"/>
        <w:tabs>
          <w:tab w:val="center" w:pos="4960"/>
        </w:tabs>
        <w:spacing w:line="240" w:lineRule="auto"/>
        <w:ind w:firstLine="0"/>
        <w:rPr>
          <w:rFonts w:ascii="PT Astra Serif" w:hAnsi="PT Astra Serif"/>
          <w:b/>
          <w:i/>
          <w:color w:val="000000"/>
          <w:spacing w:val="-7"/>
          <w:sz w:val="28"/>
          <w:szCs w:val="28"/>
        </w:rPr>
      </w:pPr>
      <w:r>
        <w:rPr>
          <w:rFonts w:ascii="PT Astra Serif" w:hAnsi="PT Astra Serif"/>
          <w:b/>
          <w:i/>
          <w:sz w:val="28"/>
          <w:szCs w:val="28"/>
        </w:rPr>
        <w:t>Растениеводство</w:t>
      </w:r>
      <w:r>
        <w:rPr>
          <w:rFonts w:ascii="PT Astra Serif" w:hAnsi="PT Astra Serif"/>
          <w:b/>
          <w:i/>
          <w:color w:val="000000"/>
          <w:spacing w:val="-7"/>
          <w:sz w:val="28"/>
          <w:szCs w:val="28"/>
        </w:rPr>
        <w:t xml:space="preserve"> </w:t>
      </w:r>
    </w:p>
    <w:p>
      <w:pPr>
        <w:shd w:val="clear" w:color="auto" w:fill="FFFFFF"/>
        <w:spacing w:line="240" w:lineRule="auto"/>
        <w:ind w:left="5" w:right="-1" w:hanging="5"/>
        <w:rPr>
          <w:rFonts w:ascii="PT Astra Serif" w:hAnsi="PT Astra Serif"/>
          <w:b/>
          <w:color w:val="000000"/>
          <w:spacing w:val="-7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>Слайд 7</w:t>
      </w:r>
    </w:p>
    <w:p>
      <w:pPr>
        <w:pStyle w:val="a6"/>
        <w:spacing w:before="0" w:beforeAutospacing="0" w:after="0" w:afterAutospacing="0" w:line="240" w:lineRule="auto"/>
        <w:ind w:left="5" w:right="-2" w:firstLine="704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Балаковский район расположен в «зоне рискованного земледелия», не смотря на это, растениеводство является ведущей отраслью сельскохозяйственного производства. </w:t>
      </w:r>
    </w:p>
    <w:p>
      <w:pPr>
        <w:pStyle w:val="a6"/>
        <w:spacing w:before="0" w:beforeAutospacing="0" w:after="0" w:afterAutospacing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Вот уже второй год подряд мы входим в десятку районов Саратовской области, собирающих более 200 тысяч тонн зерновых и зернобобовых культур </w:t>
      </w:r>
      <w:r>
        <w:rPr>
          <w:rFonts w:ascii="PT Astra Serif" w:hAnsi="PT Astra Serif"/>
          <w:i/>
          <w:sz w:val="28"/>
          <w:szCs w:val="28"/>
        </w:rPr>
        <w:t>(средняя урожайность 28,3 ц/га) (207,3 тыс.тонн, 31,8 ц/га))</w:t>
      </w:r>
      <w:r>
        <w:rPr>
          <w:rFonts w:ascii="PT Astra Serif" w:hAnsi="PT Astra Serif"/>
          <w:sz w:val="28"/>
          <w:szCs w:val="28"/>
        </w:rPr>
        <w:t>. Самая высокая урожайность зерновых культур получена в хозяйствах: ООО «Студенецкое» - 65 ц/га, ООО «Агрофирма «Пегас» - 45 ц/га, ИП глава КФХ Шапошников С.Г. – 33 ц/га.</w:t>
      </w:r>
    </w:p>
    <w:p>
      <w:pPr>
        <w:shd w:val="clear" w:color="auto" w:fill="FFFFFF"/>
        <w:spacing w:line="240" w:lineRule="auto"/>
        <w:ind w:left="5" w:right="-1" w:hanging="5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>Слайд 8</w:t>
      </w:r>
    </w:p>
    <w:p>
      <w:pPr>
        <w:pStyle w:val="a6"/>
        <w:spacing w:before="0" w:beforeAutospacing="0" w:after="0" w:afterAutospacing="0" w:line="240" w:lineRule="auto"/>
        <w:ind w:left="5" w:right="-2" w:firstLine="704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Ожидаемый объем намолота подсолнечника – не менее 65 тыс.тонн (75% к уровню прошлого года </w:t>
      </w:r>
      <w:r>
        <w:rPr>
          <w:rFonts w:ascii="PT Astra Serif" w:hAnsi="PT Astra Serif"/>
          <w:i/>
          <w:sz w:val="28"/>
          <w:szCs w:val="28"/>
        </w:rPr>
        <w:t>(86,6 тыс.тонн, 15,3 ц/га)</w:t>
      </w:r>
      <w:r>
        <w:rPr>
          <w:rFonts w:ascii="PT Astra Serif" w:hAnsi="PT Astra Serif"/>
          <w:sz w:val="28"/>
          <w:szCs w:val="28"/>
        </w:rPr>
        <w:t>), (средняя урожайность 14,7 ц/га). Самые лучшие показатели по урожайности подсолнечника достигнуты в хозяйствах: ООО «Красноярское» - 23,2 ц/га, ИП глава КФХ Ульянкин В.Е. – 22 ц/га, ООО «Агрофирма «Пегас» - 21 ц/га.</w:t>
      </w:r>
    </w:p>
    <w:p>
      <w:pPr>
        <w:shd w:val="clear" w:color="auto" w:fill="FFFFFF"/>
        <w:spacing w:line="240" w:lineRule="auto"/>
        <w:ind w:left="5" w:right="-1" w:hanging="5"/>
        <w:rPr>
          <w:rFonts w:ascii="PT Astra Serif" w:hAnsi="PT Astra Serif"/>
          <w:spacing w:val="5"/>
          <w:sz w:val="28"/>
          <w:szCs w:val="28"/>
          <w:lang w:eastAsia="zh-CN"/>
        </w:rPr>
      </w:pPr>
      <w:r>
        <w:rPr>
          <w:rFonts w:ascii="PT Astra Serif" w:hAnsi="PT Astra Serif"/>
          <w:bCs/>
          <w:sz w:val="28"/>
          <w:szCs w:val="28"/>
          <w:u w:val="single"/>
        </w:rPr>
        <w:t>Слайд 9</w:t>
      </w:r>
    </w:p>
    <w:p>
      <w:pPr>
        <w:spacing w:line="240" w:lineRule="auto"/>
        <w:ind w:left="5" w:right="-2" w:firstLine="704"/>
        <w:rPr>
          <w:rFonts w:ascii="PT Astra Serif" w:hAnsi="PT Astra Serif"/>
          <w:spacing w:val="5"/>
          <w:sz w:val="28"/>
          <w:szCs w:val="28"/>
          <w:lang w:eastAsia="zh-CN"/>
        </w:rPr>
      </w:pPr>
      <w:r>
        <w:rPr>
          <w:rFonts w:ascii="PT Astra Serif" w:hAnsi="PT Astra Serif"/>
          <w:spacing w:val="5"/>
          <w:sz w:val="28"/>
          <w:szCs w:val="28"/>
          <w:lang w:eastAsia="zh-CN"/>
        </w:rPr>
        <w:t xml:space="preserve">Уборочная кампания 2023 года завершается, но в хозяйствах района ведется работа по подготовке основы урожая будущего года. Посеяно 28,9 тыс.га озимых культур (110% к уровню прошлого года) </w:t>
      </w:r>
      <w:r>
        <w:rPr>
          <w:rFonts w:ascii="PT Astra Serif" w:hAnsi="PT Astra Serif"/>
          <w:i/>
          <w:spacing w:val="5"/>
          <w:sz w:val="28"/>
          <w:szCs w:val="28"/>
          <w:lang w:eastAsia="zh-CN"/>
        </w:rPr>
        <w:t>(26,3 тыс.га)</w:t>
      </w:r>
      <w:r>
        <w:rPr>
          <w:rFonts w:ascii="PT Astra Serif" w:hAnsi="PT Astra Serif"/>
          <w:spacing w:val="5"/>
          <w:sz w:val="28"/>
          <w:szCs w:val="28"/>
          <w:lang w:eastAsia="zh-CN"/>
        </w:rPr>
        <w:t>. На весенний сев 2024 года засыпано 5,2 тыс.тонн семян яровых зерновых культур (100% от потребности). Зябь вспахана на площади 75,7 тыс.га (100%). Внесено 2,1 тыс.тонн минеральных удобрений.</w:t>
      </w:r>
    </w:p>
    <w:p>
      <w:pPr>
        <w:shd w:val="clear" w:color="auto" w:fill="FFFFFF"/>
        <w:spacing w:line="240" w:lineRule="auto"/>
        <w:ind w:left="5" w:right="-1" w:hanging="5"/>
        <w:rPr>
          <w:rFonts w:ascii="PT Astra Serif" w:hAnsi="PT Astra Serif"/>
          <w:spacing w:val="5"/>
          <w:sz w:val="28"/>
          <w:szCs w:val="28"/>
          <w:lang w:eastAsia="zh-CN"/>
        </w:rPr>
      </w:pPr>
      <w:r>
        <w:rPr>
          <w:rFonts w:ascii="PT Astra Serif" w:hAnsi="PT Astra Serif"/>
          <w:bCs/>
          <w:sz w:val="28"/>
          <w:szCs w:val="28"/>
          <w:u w:val="single"/>
        </w:rPr>
        <w:t>Слайд 10</w:t>
      </w:r>
    </w:p>
    <w:p>
      <w:pPr>
        <w:pStyle w:val="a6"/>
        <w:spacing w:before="0" w:beforeAutospacing="0" w:after="0" w:afterAutospacing="0" w:line="240" w:lineRule="auto"/>
        <w:ind w:left="5" w:right="-2" w:firstLine="704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Е</w:t>
      </w:r>
      <w:r>
        <w:rPr>
          <w:rFonts w:ascii="PT Astra Serif" w:hAnsi="PT Astra Serif"/>
          <w:bCs/>
          <w:sz w:val="28"/>
          <w:szCs w:val="28"/>
        </w:rPr>
        <w:t xml:space="preserve">ще одно направление растениеводства, стабильно развивающееся в районе –выращивание овощей в закрытом грунте. Основной производитель данной продукции – АО «Волга». В 2023 году предприятием собрано 6,6 тыс.тонн овощей (103,1% к уровню 2022 года </w:t>
      </w:r>
      <w:r>
        <w:rPr>
          <w:rFonts w:ascii="PT Astra Serif" w:hAnsi="PT Astra Serif"/>
          <w:bCs/>
          <w:i/>
          <w:sz w:val="28"/>
          <w:szCs w:val="28"/>
        </w:rPr>
        <w:t>(6,4 тыс.тонн)</w:t>
      </w:r>
      <w:r>
        <w:rPr>
          <w:rFonts w:ascii="PT Astra Serif" w:hAnsi="PT Astra Serif"/>
          <w:bCs/>
          <w:sz w:val="28"/>
          <w:szCs w:val="28"/>
        </w:rPr>
        <w:t xml:space="preserve">). </w:t>
      </w:r>
    </w:p>
    <w:p>
      <w:pPr>
        <w:spacing w:line="240" w:lineRule="auto"/>
        <w:ind w:left="5" w:right="-2" w:firstLine="704"/>
        <w:rPr>
          <w:rFonts w:ascii="PT Astra Serif" w:hAnsi="PT Astra Serif"/>
          <w:spacing w:val="5"/>
          <w:sz w:val="28"/>
          <w:szCs w:val="28"/>
          <w:lang w:eastAsia="zh-CN"/>
        </w:rPr>
      </w:pPr>
      <w:r>
        <w:rPr>
          <w:rFonts w:ascii="PT Astra Serif" w:hAnsi="PT Astra Serif"/>
          <w:sz w:val="28"/>
          <w:szCs w:val="28"/>
        </w:rPr>
        <w:t xml:space="preserve">В течение последних лет АО «Волга» развивает новое для себя направление – садоводство. </w:t>
      </w:r>
      <w:r>
        <w:rPr>
          <w:rFonts w:ascii="PT Astra Serif" w:hAnsi="PT Astra Serif"/>
          <w:spacing w:val="5"/>
          <w:sz w:val="28"/>
          <w:szCs w:val="28"/>
          <w:lang w:eastAsia="zh-CN"/>
        </w:rPr>
        <w:t xml:space="preserve">На сегодняшний день общая площадь садов предприятия составляет 127 га. В текущем году собрано 1,2 тысячи тонн яблок (112,1% к уровню прошлого года </w:t>
      </w:r>
      <w:r>
        <w:rPr>
          <w:rFonts w:ascii="PT Astra Serif" w:hAnsi="PT Astra Serif"/>
          <w:i/>
          <w:spacing w:val="5"/>
          <w:sz w:val="28"/>
          <w:szCs w:val="28"/>
          <w:lang w:eastAsia="zh-CN"/>
        </w:rPr>
        <w:t>(1037 тонн)).</w:t>
      </w:r>
    </w:p>
    <w:p>
      <w:pPr>
        <w:spacing w:line="240" w:lineRule="auto"/>
        <w:ind w:left="5" w:right="-2" w:firstLine="704"/>
        <w:rPr>
          <w:rFonts w:ascii="PT Astra Serif" w:hAnsi="PT Astra Serif"/>
          <w:b/>
          <w:i/>
          <w:sz w:val="28"/>
          <w:szCs w:val="28"/>
        </w:rPr>
      </w:pPr>
      <w:r>
        <w:rPr>
          <w:rFonts w:ascii="PT Astra Serif" w:hAnsi="PT Astra Serif"/>
          <w:b/>
          <w:i/>
          <w:sz w:val="28"/>
          <w:szCs w:val="28"/>
        </w:rPr>
        <w:t>Животноводство</w:t>
      </w:r>
    </w:p>
    <w:p>
      <w:pPr>
        <w:shd w:val="clear" w:color="auto" w:fill="FFFFFF"/>
        <w:spacing w:line="240" w:lineRule="auto"/>
        <w:ind w:left="5" w:right="-1" w:hanging="5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>Слайд 11</w:t>
      </w:r>
    </w:p>
    <w:p>
      <w:pPr>
        <w:spacing w:line="240" w:lineRule="auto"/>
        <w:ind w:left="5" w:right="-2" w:firstLine="704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Наряду с растениеводством в нашем районе развивается животноводство. Эти отрасли очень тесно взаимосвязаны.  </w:t>
      </w:r>
    </w:p>
    <w:p>
      <w:pPr>
        <w:spacing w:line="240" w:lineRule="auto"/>
        <w:ind w:left="5" w:right="-2" w:firstLine="704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предстоящую зимовку для поголовья скота в хозяйствах всех категорий заготовлено 34,0 тыс.тонн сена, 27,4 тыс.тонн соломы, 16,3 тыс.тонн зернофуража. На одну условную голову заготовлено 27,99 центнера кормовых единиц (109,6% от потребности).</w:t>
      </w:r>
    </w:p>
    <w:p>
      <w:pPr>
        <w:shd w:val="clear" w:color="auto" w:fill="FFFFFF"/>
        <w:spacing w:line="240" w:lineRule="auto"/>
        <w:ind w:left="5" w:right="-1" w:hanging="5"/>
        <w:rPr>
          <w:rFonts w:ascii="PT Astra Serif" w:hAnsi="PT Astra Serif"/>
          <w:spacing w:val="5"/>
          <w:sz w:val="28"/>
          <w:szCs w:val="28"/>
          <w:lang w:eastAsia="zh-CN"/>
        </w:rPr>
      </w:pPr>
      <w:r>
        <w:rPr>
          <w:rFonts w:ascii="PT Astra Serif" w:hAnsi="PT Astra Serif"/>
          <w:bCs/>
          <w:sz w:val="28"/>
          <w:szCs w:val="28"/>
          <w:u w:val="single"/>
        </w:rPr>
        <w:t>Слайд 12</w:t>
      </w:r>
    </w:p>
    <w:p>
      <w:pPr>
        <w:spacing w:line="240" w:lineRule="auto"/>
        <w:ind w:left="5" w:right="-2" w:firstLine="704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предварительной оценке итогов 2023 года, численность поголовья скота в хозяйствах всех категорий составит:</w:t>
      </w:r>
    </w:p>
    <w:p>
      <w:pPr>
        <w:numPr>
          <w:ilvl w:val="0"/>
          <w:numId w:val="7"/>
        </w:numPr>
        <w:suppressAutoHyphens/>
        <w:spacing w:line="240" w:lineRule="auto"/>
        <w:ind w:left="5" w:right="-2" w:firstLine="704"/>
        <w:rPr>
          <w:rFonts w:ascii="PT Astra Serif" w:hAnsi="PT Astra Serif"/>
          <w:sz w:val="28"/>
          <w:szCs w:val="28"/>
          <w:lang w:eastAsia="zh-CN"/>
        </w:rPr>
      </w:pPr>
      <w:r>
        <w:rPr>
          <w:rFonts w:ascii="PT Astra Serif" w:hAnsi="PT Astra Serif"/>
          <w:sz w:val="28"/>
          <w:szCs w:val="28"/>
          <w:lang w:eastAsia="zh-CN"/>
        </w:rPr>
        <w:t xml:space="preserve"> крупного рогатого скота – 10,3 тыс. голов </w:t>
      </w:r>
      <w:r>
        <w:rPr>
          <w:rFonts w:ascii="PT Astra Serif" w:hAnsi="PT Astra Serif"/>
          <w:i/>
          <w:spacing w:val="8"/>
          <w:sz w:val="28"/>
          <w:szCs w:val="28"/>
          <w:lang w:eastAsia="zh-CN"/>
        </w:rPr>
        <w:t>(89,1% к уровню 2022 года),</w:t>
      </w:r>
      <w:r>
        <w:rPr>
          <w:rFonts w:ascii="PT Astra Serif" w:hAnsi="PT Astra Serif"/>
          <w:spacing w:val="8"/>
          <w:sz w:val="28"/>
          <w:szCs w:val="28"/>
          <w:lang w:eastAsia="zh-CN"/>
        </w:rPr>
        <w:t xml:space="preserve"> </w:t>
      </w:r>
    </w:p>
    <w:p>
      <w:pPr>
        <w:numPr>
          <w:ilvl w:val="0"/>
          <w:numId w:val="7"/>
        </w:numPr>
        <w:suppressAutoHyphens/>
        <w:spacing w:line="240" w:lineRule="auto"/>
        <w:ind w:left="5" w:right="-2" w:firstLine="704"/>
        <w:rPr>
          <w:rFonts w:ascii="PT Astra Serif" w:hAnsi="PT Astra Serif"/>
          <w:sz w:val="28"/>
          <w:szCs w:val="28"/>
          <w:lang w:eastAsia="zh-CN"/>
        </w:rPr>
      </w:pPr>
      <w:r>
        <w:rPr>
          <w:rFonts w:ascii="PT Astra Serif" w:hAnsi="PT Astra Serif"/>
          <w:spacing w:val="8"/>
          <w:sz w:val="28"/>
          <w:szCs w:val="28"/>
          <w:lang w:eastAsia="zh-CN"/>
        </w:rPr>
        <w:lastRenderedPageBreak/>
        <w:t xml:space="preserve"> в том числе, коров </w:t>
      </w:r>
      <w:r>
        <w:rPr>
          <w:rFonts w:ascii="PT Astra Serif" w:hAnsi="PT Astra Serif"/>
          <w:sz w:val="28"/>
          <w:szCs w:val="28"/>
          <w:lang w:eastAsia="zh-CN"/>
        </w:rPr>
        <w:t xml:space="preserve">– 4,9 тыс. голов </w:t>
      </w:r>
      <w:r>
        <w:rPr>
          <w:rFonts w:ascii="PT Astra Serif" w:hAnsi="PT Astra Serif"/>
          <w:i/>
          <w:spacing w:val="8"/>
          <w:sz w:val="28"/>
          <w:szCs w:val="28"/>
          <w:lang w:eastAsia="zh-CN"/>
        </w:rPr>
        <w:t>(91,6% к уровню 2022 года),</w:t>
      </w:r>
      <w:r>
        <w:rPr>
          <w:rFonts w:ascii="PT Astra Serif" w:hAnsi="PT Astra Serif"/>
          <w:spacing w:val="8"/>
          <w:sz w:val="28"/>
          <w:szCs w:val="28"/>
          <w:lang w:eastAsia="zh-CN"/>
        </w:rPr>
        <w:t xml:space="preserve"> </w:t>
      </w:r>
    </w:p>
    <w:p>
      <w:pPr>
        <w:numPr>
          <w:ilvl w:val="0"/>
          <w:numId w:val="6"/>
        </w:numPr>
        <w:suppressAutoHyphens/>
        <w:spacing w:line="240" w:lineRule="auto"/>
        <w:ind w:left="5" w:right="-2" w:firstLine="704"/>
        <w:rPr>
          <w:rFonts w:ascii="PT Astra Serif" w:hAnsi="PT Astra Serif"/>
          <w:i/>
          <w:sz w:val="28"/>
          <w:szCs w:val="28"/>
          <w:lang w:eastAsia="zh-CN"/>
        </w:rPr>
      </w:pPr>
      <w:r>
        <w:rPr>
          <w:rFonts w:ascii="PT Astra Serif" w:hAnsi="PT Astra Serif"/>
          <w:sz w:val="28"/>
          <w:szCs w:val="28"/>
          <w:lang w:eastAsia="zh-CN"/>
        </w:rPr>
        <w:t xml:space="preserve"> свиней – 7,4 тыс. голов </w:t>
      </w:r>
      <w:r>
        <w:rPr>
          <w:rFonts w:ascii="PT Astra Serif" w:hAnsi="PT Astra Serif"/>
          <w:i/>
          <w:spacing w:val="8"/>
          <w:sz w:val="28"/>
          <w:szCs w:val="28"/>
          <w:lang w:eastAsia="zh-CN"/>
        </w:rPr>
        <w:t>(99% к уровню 2022 года),</w:t>
      </w:r>
    </w:p>
    <w:p>
      <w:pPr>
        <w:numPr>
          <w:ilvl w:val="0"/>
          <w:numId w:val="6"/>
        </w:numPr>
        <w:suppressAutoHyphens/>
        <w:spacing w:line="240" w:lineRule="auto"/>
        <w:ind w:left="5" w:right="-2" w:firstLine="704"/>
        <w:rPr>
          <w:rFonts w:ascii="PT Astra Serif" w:hAnsi="PT Astra Serif"/>
          <w:i/>
          <w:sz w:val="28"/>
          <w:szCs w:val="28"/>
          <w:lang w:eastAsia="zh-CN"/>
        </w:rPr>
      </w:pPr>
      <w:r>
        <w:rPr>
          <w:rFonts w:ascii="PT Astra Serif" w:hAnsi="PT Astra Serif"/>
          <w:sz w:val="28"/>
          <w:szCs w:val="28"/>
          <w:lang w:eastAsia="zh-CN"/>
        </w:rPr>
        <w:t xml:space="preserve"> овец – 4,5 тыс. голов </w:t>
      </w:r>
      <w:r>
        <w:rPr>
          <w:rFonts w:ascii="PT Astra Serif" w:hAnsi="PT Astra Serif"/>
          <w:i/>
          <w:spacing w:val="8"/>
          <w:sz w:val="28"/>
          <w:szCs w:val="28"/>
          <w:lang w:eastAsia="zh-CN"/>
        </w:rPr>
        <w:t>(88,5% к уровню 2022 года),</w:t>
      </w:r>
    </w:p>
    <w:p>
      <w:pPr>
        <w:numPr>
          <w:ilvl w:val="0"/>
          <w:numId w:val="6"/>
        </w:numPr>
        <w:suppressAutoHyphens/>
        <w:spacing w:line="240" w:lineRule="auto"/>
        <w:ind w:left="5" w:right="-2" w:firstLine="704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  <w:lang w:eastAsia="zh-CN"/>
        </w:rPr>
        <w:t xml:space="preserve"> птицы – 90,3 тыс. голов </w:t>
      </w:r>
      <w:r>
        <w:rPr>
          <w:rFonts w:ascii="PT Astra Serif" w:hAnsi="PT Astra Serif"/>
          <w:i/>
          <w:spacing w:val="8"/>
          <w:sz w:val="28"/>
          <w:szCs w:val="28"/>
          <w:lang w:eastAsia="zh-CN"/>
        </w:rPr>
        <w:t>(на уровне 2022 года).</w:t>
      </w:r>
    </w:p>
    <w:p>
      <w:pPr>
        <w:suppressAutoHyphens/>
        <w:spacing w:line="240" w:lineRule="auto"/>
        <w:ind w:right="-2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За год район планирует произвести:</w:t>
      </w:r>
    </w:p>
    <w:p>
      <w:pPr>
        <w:numPr>
          <w:ilvl w:val="0"/>
          <w:numId w:val="18"/>
        </w:numPr>
        <w:spacing w:line="240" w:lineRule="auto"/>
        <w:ind w:left="5" w:right="-2" w:firstLine="704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молока – 22,3 тыс. тонн </w:t>
      </w:r>
      <w:r>
        <w:rPr>
          <w:rFonts w:ascii="PT Astra Serif" w:hAnsi="PT Astra Serif"/>
          <w:spacing w:val="8"/>
          <w:sz w:val="28"/>
          <w:szCs w:val="28"/>
          <w:lang w:eastAsia="zh-CN"/>
        </w:rPr>
        <w:t>(на уровне 2022 года)</w:t>
      </w:r>
      <w:r>
        <w:rPr>
          <w:rFonts w:ascii="PT Astra Serif" w:hAnsi="PT Astra Serif"/>
          <w:sz w:val="28"/>
          <w:szCs w:val="28"/>
        </w:rPr>
        <w:t>,</w:t>
      </w:r>
    </w:p>
    <w:p>
      <w:pPr>
        <w:numPr>
          <w:ilvl w:val="0"/>
          <w:numId w:val="18"/>
        </w:numPr>
        <w:spacing w:line="240" w:lineRule="auto"/>
        <w:ind w:left="5" w:right="-2" w:firstLine="704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мяса – 4,9 тыс. тонн </w:t>
      </w:r>
      <w:r>
        <w:rPr>
          <w:rFonts w:ascii="PT Astra Serif" w:hAnsi="PT Astra Serif"/>
          <w:spacing w:val="8"/>
          <w:sz w:val="28"/>
          <w:szCs w:val="28"/>
          <w:lang w:eastAsia="zh-CN"/>
        </w:rPr>
        <w:t>на уровне 2022 года)</w:t>
      </w:r>
      <w:r>
        <w:rPr>
          <w:rFonts w:ascii="PT Astra Serif" w:hAnsi="PT Astra Serif"/>
          <w:sz w:val="28"/>
          <w:szCs w:val="28"/>
        </w:rPr>
        <w:t>,</w:t>
      </w:r>
    </w:p>
    <w:p>
      <w:pPr>
        <w:numPr>
          <w:ilvl w:val="0"/>
          <w:numId w:val="18"/>
        </w:numPr>
        <w:spacing w:line="240" w:lineRule="auto"/>
        <w:ind w:left="5" w:right="-2" w:firstLine="704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яиц – 17 млн.штук </w:t>
      </w:r>
      <w:r>
        <w:rPr>
          <w:rFonts w:ascii="PT Astra Serif" w:hAnsi="PT Astra Serif"/>
          <w:spacing w:val="8"/>
          <w:sz w:val="28"/>
          <w:szCs w:val="28"/>
          <w:lang w:eastAsia="zh-CN"/>
        </w:rPr>
        <w:t>(в 3 раза больше, чем в 2022 году)</w:t>
      </w:r>
      <w:r>
        <w:rPr>
          <w:rFonts w:ascii="PT Astra Serif" w:hAnsi="PT Astra Serif"/>
          <w:sz w:val="28"/>
          <w:szCs w:val="28"/>
        </w:rPr>
        <w:t>.</w:t>
      </w:r>
    </w:p>
    <w:p>
      <w:pPr>
        <w:shd w:val="clear" w:color="auto" w:fill="FFFFFF"/>
        <w:spacing w:line="240" w:lineRule="auto"/>
        <w:ind w:right="-1" w:firstLine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>Слайд 13</w:t>
      </w:r>
    </w:p>
    <w:p>
      <w:pPr>
        <w:pStyle w:val="ConsPlusCell"/>
        <w:widowControl w:val="0"/>
        <w:pBdr>
          <w:bottom w:val="single" w:sz="6" w:space="15" w:color="FFFFFF"/>
        </w:pBdr>
        <w:tabs>
          <w:tab w:val="left" w:pos="567"/>
          <w:tab w:val="left" w:pos="855"/>
          <w:tab w:val="center" w:pos="4844"/>
          <w:tab w:val="right" w:pos="9214"/>
        </w:tabs>
        <w:suppressAutoHyphens/>
        <w:overflowPunct w:val="0"/>
        <w:ind w:firstLine="709"/>
        <w:contextualSpacing/>
        <w:jc w:val="both"/>
        <w:textAlignment w:val="baseline"/>
        <w:outlineLvl w:val="1"/>
        <w:rPr>
          <w:rFonts w:ascii="PT Astra Serif" w:hAnsi="PT Astra Serif"/>
          <w:color w:val="000000"/>
          <w:shd w:val="clear" w:color="auto" w:fill="FFFFFF"/>
        </w:rPr>
      </w:pPr>
      <w:r>
        <w:rPr>
          <w:rFonts w:ascii="PT Astra Serif" w:hAnsi="PT Astra Serif"/>
          <w:color w:val="000000"/>
          <w:shd w:val="clear" w:color="auto" w:fill="FFFFFF"/>
        </w:rPr>
        <w:t>После длительного перерыва в районе снова развивается отрасль птицеводства. Два года назад ф</w:t>
      </w:r>
      <w:r>
        <w:rPr>
          <w:rFonts w:ascii="PT Astra Serif" w:hAnsi="PT Astra Serif"/>
          <w:lang w:eastAsia="zh-CN"/>
        </w:rPr>
        <w:t xml:space="preserve">илиал ООО «ЛоманнЛэйерс Рус» начал работу по </w:t>
      </w:r>
      <w:r>
        <w:rPr>
          <w:rFonts w:ascii="PT Astra Serif" w:hAnsi="PT Astra Serif"/>
          <w:color w:val="000000"/>
          <w:shd w:val="clear" w:color="auto" w:fill="FFFFFF"/>
        </w:rPr>
        <w:t xml:space="preserve">реализации инвестиционного проекта по производству инкубационного яйца и суточных цыплят яичного направления. Был произведен ремонт птичников, установлено оборудование для напольного выращивания суточных цыплят, приобретено оборудование для содержания взрослых птиц. За этот период было завезено 70 тыс.голов птицы, в том числе 44 тыс.голов кур-несушек </w:t>
      </w:r>
      <w:r>
        <w:rPr>
          <w:rFonts w:ascii="PT Astra Serif" w:hAnsi="PT Astra Serif"/>
          <w:i/>
          <w:color w:val="000000"/>
          <w:shd w:val="clear" w:color="auto" w:fill="FFFFFF"/>
        </w:rPr>
        <w:t>(58 тыс.голов – 1 завоз, 18 – 2-й)</w:t>
      </w:r>
      <w:r>
        <w:rPr>
          <w:rFonts w:ascii="PT Astra Serif" w:hAnsi="PT Astra Serif"/>
          <w:color w:val="000000"/>
          <w:shd w:val="clear" w:color="auto" w:fill="FFFFFF"/>
        </w:rPr>
        <w:t>. За 11 месяцев 2023 года произведено 11 млн.штук яиц.</w:t>
      </w:r>
    </w:p>
    <w:p>
      <w:pPr>
        <w:pStyle w:val="ConsPlusCell"/>
        <w:widowControl w:val="0"/>
        <w:pBdr>
          <w:bottom w:val="single" w:sz="6" w:space="15" w:color="FFFFFF"/>
        </w:pBdr>
        <w:tabs>
          <w:tab w:val="left" w:pos="567"/>
          <w:tab w:val="left" w:pos="855"/>
          <w:tab w:val="center" w:pos="4844"/>
          <w:tab w:val="right" w:pos="9214"/>
        </w:tabs>
        <w:suppressAutoHyphens/>
        <w:overflowPunct w:val="0"/>
        <w:ind w:firstLine="709"/>
        <w:contextualSpacing/>
        <w:jc w:val="both"/>
        <w:textAlignment w:val="baseline"/>
        <w:outlineLvl w:val="1"/>
        <w:rPr>
          <w:rFonts w:ascii="PT Astra Serif" w:hAnsi="PT Astra Serif"/>
          <w:color w:val="000000"/>
          <w:shd w:val="clear" w:color="auto" w:fill="FFFFFF"/>
        </w:rPr>
      </w:pPr>
      <w:r>
        <w:rPr>
          <w:rFonts w:ascii="PT Astra Serif" w:hAnsi="PT Astra Serif"/>
          <w:color w:val="000000"/>
          <w:shd w:val="clear" w:color="auto" w:fill="FFFFFF"/>
        </w:rPr>
        <w:t>В рамках проекта создано 20 новых рабочих мест. Средняя заработная плата – 50 тыс.рублей.</w:t>
      </w:r>
    </w:p>
    <w:p>
      <w:pPr>
        <w:pStyle w:val="ConsPlusCell"/>
        <w:widowControl w:val="0"/>
        <w:pBdr>
          <w:bottom w:val="single" w:sz="6" w:space="15" w:color="FFFFFF"/>
        </w:pBdr>
        <w:tabs>
          <w:tab w:val="left" w:pos="567"/>
          <w:tab w:val="left" w:pos="855"/>
          <w:tab w:val="center" w:pos="4844"/>
          <w:tab w:val="right" w:pos="9214"/>
        </w:tabs>
        <w:suppressAutoHyphens/>
        <w:overflowPunct w:val="0"/>
        <w:ind w:firstLine="709"/>
        <w:contextualSpacing/>
        <w:jc w:val="both"/>
        <w:textAlignment w:val="baseline"/>
        <w:outlineLvl w:val="1"/>
        <w:rPr>
          <w:rFonts w:ascii="PT Astra Serif" w:hAnsi="PT Astra Serif"/>
          <w:bCs/>
          <w:i/>
          <w:u w:val="single"/>
        </w:rPr>
      </w:pPr>
      <w:r>
        <w:rPr>
          <w:rFonts w:ascii="PT Astra Serif" w:hAnsi="PT Astra Serif"/>
          <w:b/>
          <w:i/>
        </w:rPr>
        <w:t>Мелиорация</w:t>
      </w:r>
      <w:r>
        <w:rPr>
          <w:rFonts w:ascii="PT Astra Serif" w:hAnsi="PT Astra Serif"/>
          <w:bCs/>
          <w:i/>
          <w:u w:val="single"/>
        </w:rPr>
        <w:t xml:space="preserve"> </w:t>
      </w:r>
    </w:p>
    <w:p>
      <w:pPr>
        <w:pStyle w:val="ConsPlusCell"/>
        <w:widowControl w:val="0"/>
        <w:pBdr>
          <w:bottom w:val="single" w:sz="6" w:space="15" w:color="FFFFFF"/>
        </w:pBdr>
        <w:tabs>
          <w:tab w:val="left" w:pos="567"/>
          <w:tab w:val="left" w:pos="855"/>
          <w:tab w:val="center" w:pos="4844"/>
          <w:tab w:val="right" w:pos="9214"/>
        </w:tabs>
        <w:suppressAutoHyphens/>
        <w:overflowPunct w:val="0"/>
        <w:ind w:firstLine="709"/>
        <w:contextualSpacing/>
        <w:jc w:val="both"/>
        <w:textAlignment w:val="baseline"/>
        <w:outlineLvl w:val="1"/>
        <w:rPr>
          <w:rFonts w:ascii="PT Astra Serif" w:hAnsi="PT Astra Serif"/>
          <w:bCs/>
          <w:u w:val="single"/>
        </w:rPr>
      </w:pPr>
      <w:r>
        <w:rPr>
          <w:rFonts w:ascii="PT Astra Serif" w:hAnsi="PT Astra Serif"/>
          <w:bCs/>
          <w:u w:val="single"/>
        </w:rPr>
        <w:t>Слайд 14</w:t>
      </w:r>
    </w:p>
    <w:p>
      <w:pPr>
        <w:pStyle w:val="ConsPlusCell"/>
        <w:widowControl w:val="0"/>
        <w:pBdr>
          <w:bottom w:val="single" w:sz="6" w:space="15" w:color="FFFFFF"/>
        </w:pBdr>
        <w:tabs>
          <w:tab w:val="left" w:pos="567"/>
          <w:tab w:val="left" w:pos="855"/>
          <w:tab w:val="center" w:pos="4844"/>
          <w:tab w:val="right" w:pos="9214"/>
        </w:tabs>
        <w:suppressAutoHyphens/>
        <w:overflowPunct w:val="0"/>
        <w:ind w:firstLine="709"/>
        <w:contextualSpacing/>
        <w:jc w:val="both"/>
        <w:textAlignment w:val="baseline"/>
        <w:outlineLvl w:val="1"/>
        <w:rPr>
          <w:rFonts w:ascii="PT Astra Serif" w:hAnsi="PT Astra Serif"/>
        </w:rPr>
      </w:pPr>
      <w:r>
        <w:rPr>
          <w:rFonts w:ascii="PT Astra Serif" w:hAnsi="PT Astra Serif"/>
        </w:rPr>
        <w:t>Одним из важнейших резервов роста сельскохозяйственного производства остается развитие мелиоративного комплекса. Балаковский район является одним из районов области, внедряющих новейшие системы мелиорации, с целью увеличения объемов продукции, производимой на экспорт.</w:t>
      </w:r>
    </w:p>
    <w:p>
      <w:pPr>
        <w:pStyle w:val="ConsPlusCell"/>
        <w:widowControl w:val="0"/>
        <w:pBdr>
          <w:bottom w:val="single" w:sz="6" w:space="15" w:color="FFFFFF"/>
        </w:pBdr>
        <w:tabs>
          <w:tab w:val="left" w:pos="567"/>
          <w:tab w:val="left" w:pos="855"/>
          <w:tab w:val="center" w:pos="4844"/>
          <w:tab w:val="right" w:pos="9214"/>
        </w:tabs>
        <w:suppressAutoHyphens/>
        <w:overflowPunct w:val="0"/>
        <w:ind w:firstLine="567"/>
        <w:contextualSpacing/>
        <w:jc w:val="both"/>
        <w:textAlignment w:val="baseline"/>
        <w:outlineLvl w:val="1"/>
        <w:rPr>
          <w:rFonts w:ascii="PT Astra Serif" w:hAnsi="PT Astra Serif"/>
        </w:rPr>
      </w:pPr>
      <w:r>
        <w:rPr>
          <w:rFonts w:ascii="PT Astra Serif" w:hAnsi="PT Astra Serif"/>
        </w:rPr>
        <w:t>В 2023 году:</w:t>
      </w:r>
    </w:p>
    <w:p>
      <w:pPr>
        <w:spacing w:line="240" w:lineRule="auto"/>
        <w:ind w:right="-1" w:firstLine="567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Введены в эксплуатацию орошаемые участки общей площадью 495 га, в том числе:</w:t>
      </w:r>
    </w:p>
    <w:p>
      <w:pPr>
        <w:spacing w:line="240" w:lineRule="auto"/>
        <w:ind w:right="-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- 212 га – АО «Азимут»,</w:t>
      </w:r>
    </w:p>
    <w:p>
      <w:pPr>
        <w:spacing w:line="240" w:lineRule="auto"/>
        <w:ind w:right="-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- 130 га – ООО «Студенецкое»,</w:t>
      </w:r>
    </w:p>
    <w:p>
      <w:pPr>
        <w:spacing w:line="240" w:lineRule="auto"/>
        <w:ind w:right="-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- 153 га – ООО «Павловка».</w:t>
      </w:r>
    </w:p>
    <w:p>
      <w:pPr>
        <w:shd w:val="clear" w:color="auto" w:fill="FFFFFF"/>
        <w:spacing w:line="240" w:lineRule="auto"/>
        <w:rPr>
          <w:rFonts w:ascii="PT Astra Serif" w:hAnsi="PT Astra Serif"/>
          <w:sz w:val="28"/>
          <w:szCs w:val="28"/>
        </w:rPr>
      </w:pPr>
    </w:p>
    <w:p>
      <w:pPr>
        <w:shd w:val="clear" w:color="auto" w:fill="FFFFFF"/>
        <w:spacing w:line="240" w:lineRule="auto"/>
        <w:ind w:left="5" w:right="-1" w:hanging="5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>Слайд 15</w:t>
      </w:r>
    </w:p>
    <w:p>
      <w:pPr>
        <w:shd w:val="clear" w:color="auto" w:fill="FFFFFF"/>
        <w:spacing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Площадь полива в 2023 году составила 9,1 тыс.га (</w:t>
      </w:r>
      <w:r>
        <w:rPr>
          <w:rFonts w:ascii="PT Astra Serif" w:hAnsi="PT Astra Serif"/>
          <w:spacing w:val="8"/>
          <w:sz w:val="28"/>
          <w:szCs w:val="28"/>
          <w:lang w:eastAsia="zh-CN"/>
        </w:rPr>
        <w:t>в 2 раза больше, чем в 2022 году)</w:t>
      </w:r>
      <w:r>
        <w:rPr>
          <w:rFonts w:ascii="PT Astra Serif" w:hAnsi="PT Astra Serif"/>
          <w:spacing w:val="1"/>
          <w:sz w:val="28"/>
          <w:szCs w:val="28"/>
        </w:rPr>
        <w:t xml:space="preserve">, </w:t>
      </w:r>
      <w:r>
        <w:rPr>
          <w:rFonts w:ascii="PT Astra Serif" w:hAnsi="PT Astra Serif"/>
          <w:sz w:val="28"/>
          <w:szCs w:val="28"/>
        </w:rPr>
        <w:t>работали 15 насосных станций, 124 дождевальные машины и 5 систем капельного орошения.</w:t>
      </w:r>
    </w:p>
    <w:p>
      <w:pPr>
        <w:spacing w:line="240" w:lineRule="auto"/>
        <w:ind w:left="5" w:right="-2" w:firstLine="704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Инвестиции</w:t>
      </w:r>
    </w:p>
    <w:p>
      <w:pPr>
        <w:shd w:val="clear" w:color="auto" w:fill="FFFFFF"/>
        <w:spacing w:line="240" w:lineRule="auto"/>
        <w:ind w:left="5" w:right="-1" w:hanging="5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>Слайд 16</w:t>
      </w:r>
    </w:p>
    <w:p>
      <w:pPr>
        <w:pStyle w:val="a6"/>
        <w:spacing w:before="0" w:beforeAutospacing="0" w:after="0" w:afterAutospacing="0" w:line="240" w:lineRule="auto"/>
        <w:ind w:left="5" w:right="-2" w:firstLine="704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Важно отметить, что развитие агропромышленного комплекса не возможно без инвестиционных вливаний. Сегодня сельхозтоваропроизводители района активно внедряют новые технологии производства, совершенствуют производственные процессы, тем самым повышая качество и конкурентоспособность своей продукции.</w:t>
      </w:r>
    </w:p>
    <w:p>
      <w:pPr>
        <w:pStyle w:val="a6"/>
        <w:spacing w:before="0" w:beforeAutospacing="0" w:after="0" w:afterAutospacing="0" w:line="240" w:lineRule="auto"/>
        <w:ind w:left="5" w:right="-2" w:firstLine="704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Ожидаемый объем инвестиций в АПК района за 2023 год составит порядка миллиарда рублей, в том числе:</w:t>
      </w:r>
    </w:p>
    <w:p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240" w:lineRule="auto"/>
        <w:ind w:left="0" w:firstLine="709"/>
        <w:rPr>
          <w:rFonts w:ascii="PT Astra Serif" w:hAnsi="PT Astra Serif"/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</w:rPr>
        <w:lastRenderedPageBreak/>
        <w:t xml:space="preserve"> 50 млн.рублей на реализацию проектов по мелиорации сельскохозяйственных земель;</w:t>
      </w:r>
      <w:bookmarkStart w:id="0" w:name="_GoBack"/>
      <w:bookmarkEnd w:id="0"/>
    </w:p>
    <w:p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240" w:lineRule="auto"/>
        <w:ind w:left="0" w:firstLine="709"/>
        <w:rPr>
          <w:rFonts w:ascii="PT Astra Serif" w:eastAsia="Calibri" w:hAnsi="PT Astra Serif"/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</w:rPr>
        <w:t xml:space="preserve"> 233 млн.рублей на обновление парка сельскохозяйственной техники (приобретено 25</w:t>
      </w:r>
      <w:r>
        <w:rPr>
          <w:rFonts w:ascii="PT Astra Serif" w:hAnsi="PT Astra Serif"/>
          <w:sz w:val="28"/>
          <w:szCs w:val="28"/>
        </w:rPr>
        <w:t xml:space="preserve"> единиц техники и инвентаря, в том числе: 4 зерноуборочных комбайна, 11 тракторов</w:t>
      </w:r>
      <w:r>
        <w:rPr>
          <w:rFonts w:ascii="PT Astra Serif" w:eastAsia="Calibri" w:hAnsi="PT Astra Serif"/>
          <w:sz w:val="28"/>
          <w:szCs w:val="28"/>
        </w:rPr>
        <w:t>);</w:t>
      </w:r>
    </w:p>
    <w:p>
      <w:pPr>
        <w:numPr>
          <w:ilvl w:val="0"/>
          <w:numId w:val="21"/>
        </w:numPr>
        <w:spacing w:line="240" w:lineRule="auto"/>
        <w:ind w:left="0" w:firstLine="709"/>
        <w:rPr>
          <w:rFonts w:ascii="PT Astra Serif" w:eastAsia="Calibri" w:hAnsi="PT Astra Serif"/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</w:rPr>
        <w:t xml:space="preserve"> 356 млн.рублей на строительство, реконструкцию, модернизацию комплексов и помещений для хранения, подработки и сушки  зерна (из них 200 млн.рублей – инвестиционный проект ИП главы КФХ Ульянкина В.Е. по строительству комплекса по подготовке семенного материала производительностью до 10 тонн в час; начата работа по лицензированию производства семян зерновых культур);</w:t>
      </w:r>
    </w:p>
    <w:p>
      <w:pPr>
        <w:numPr>
          <w:ilvl w:val="0"/>
          <w:numId w:val="21"/>
        </w:numPr>
        <w:spacing w:line="240" w:lineRule="auto"/>
        <w:ind w:left="0" w:firstLine="709"/>
        <w:rPr>
          <w:rFonts w:ascii="PT Astra Serif" w:eastAsia="Calibri" w:hAnsi="PT Astra Serif"/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</w:rPr>
        <w:t>325 млн.рублей на строительство и реконструкцию животноводческих помещений (в том числе: две фермы для содержания крупного рогатого скота мясного направления продуктивности в рамках реализации программы поддержки семейных ферм ИП главы КФХ Шейко А.В. и Енина Н.Е.);</w:t>
      </w:r>
    </w:p>
    <w:p>
      <w:pPr>
        <w:numPr>
          <w:ilvl w:val="0"/>
          <w:numId w:val="21"/>
        </w:numPr>
        <w:spacing w:line="240" w:lineRule="auto"/>
        <w:ind w:left="0" w:firstLine="709"/>
        <w:rPr>
          <w:rFonts w:ascii="PT Astra Serif" w:eastAsia="Calibri" w:hAnsi="PT Astra Serif"/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</w:rPr>
        <w:t>12 млн.рублей на модернизацию производственных мощностей в пищевой и перерабатывающей промышленности.</w:t>
      </w:r>
    </w:p>
    <w:p>
      <w:pPr>
        <w:shd w:val="clear" w:color="auto" w:fill="FFFFFF"/>
        <w:spacing w:line="240" w:lineRule="auto"/>
        <w:ind w:right="-1" w:firstLine="0"/>
        <w:rPr>
          <w:rFonts w:ascii="PT Astra Serif" w:hAnsi="PT Astra Serif"/>
          <w:b/>
          <w:color w:val="000000"/>
          <w:spacing w:val="-7"/>
          <w:sz w:val="28"/>
          <w:szCs w:val="28"/>
          <w:highlight w:val="yellow"/>
        </w:rPr>
      </w:pPr>
      <w:r>
        <w:rPr>
          <w:rFonts w:ascii="PT Astra Serif" w:hAnsi="PT Astra Serif"/>
          <w:bCs/>
          <w:sz w:val="28"/>
          <w:szCs w:val="28"/>
          <w:u w:val="single"/>
        </w:rPr>
        <w:t>Слайд 17</w:t>
      </w:r>
    </w:p>
    <w:sectPr>
      <w:pgSz w:w="11906" w:h="16838" w:code="9"/>
      <w:pgMar w:top="851" w:right="566" w:bottom="1135" w:left="851" w:header="0" w:footer="0" w:gutter="0"/>
      <w:cols w:space="708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C2E4C"/>
    <w:multiLevelType w:val="hybridMultilevel"/>
    <w:tmpl w:val="859C299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0E2C5C63"/>
    <w:multiLevelType w:val="hybridMultilevel"/>
    <w:tmpl w:val="B7F6FEFE"/>
    <w:lvl w:ilvl="0" w:tplc="675484D0">
      <w:start w:val="1"/>
      <w:numFmt w:val="bullet"/>
      <w:suff w:val="space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2B05FB1"/>
    <w:multiLevelType w:val="hybridMultilevel"/>
    <w:tmpl w:val="936C3BF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2692699A"/>
    <w:multiLevelType w:val="hybridMultilevel"/>
    <w:tmpl w:val="FADC87C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>
    <w:nsid w:val="40332E1C"/>
    <w:multiLevelType w:val="hybridMultilevel"/>
    <w:tmpl w:val="397EE5CA"/>
    <w:lvl w:ilvl="0" w:tplc="DA6AA25C">
      <w:start w:val="1"/>
      <w:numFmt w:val="decimal"/>
      <w:lvlText w:val="%1."/>
      <w:lvlJc w:val="left"/>
      <w:pPr>
        <w:tabs>
          <w:tab w:val="num" w:pos="1558"/>
        </w:tabs>
        <w:ind w:left="155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5">
    <w:nsid w:val="40B40C7F"/>
    <w:multiLevelType w:val="hybridMultilevel"/>
    <w:tmpl w:val="4948A38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1D9572C"/>
    <w:multiLevelType w:val="hybridMultilevel"/>
    <w:tmpl w:val="078262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43A835A4"/>
    <w:multiLevelType w:val="hybridMultilevel"/>
    <w:tmpl w:val="495A82D6"/>
    <w:lvl w:ilvl="0" w:tplc="041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8">
    <w:nsid w:val="43AF4251"/>
    <w:multiLevelType w:val="hybridMultilevel"/>
    <w:tmpl w:val="B1162E1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49C96624"/>
    <w:multiLevelType w:val="hybridMultilevel"/>
    <w:tmpl w:val="5AB428A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>
    <w:nsid w:val="49FE63D3"/>
    <w:multiLevelType w:val="hybridMultilevel"/>
    <w:tmpl w:val="D594495E"/>
    <w:lvl w:ilvl="0" w:tplc="0419000B">
      <w:start w:val="1"/>
      <w:numFmt w:val="bullet"/>
      <w:lvlText w:val=""/>
      <w:lvlJc w:val="left"/>
      <w:pPr>
        <w:ind w:left="13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1">
    <w:nsid w:val="4B9C544F"/>
    <w:multiLevelType w:val="hybridMultilevel"/>
    <w:tmpl w:val="7D862456"/>
    <w:lvl w:ilvl="0" w:tplc="0A7C8F06">
      <w:start w:val="1"/>
      <w:numFmt w:val="bullet"/>
      <w:suff w:val="space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>
    <w:nsid w:val="582C6A76"/>
    <w:multiLevelType w:val="hybridMultilevel"/>
    <w:tmpl w:val="E8604632"/>
    <w:lvl w:ilvl="0" w:tplc="D9704510">
      <w:start w:val="1"/>
      <w:numFmt w:val="bullet"/>
      <w:suff w:val="space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>
    <w:nsid w:val="69B92D1D"/>
    <w:multiLevelType w:val="hybridMultilevel"/>
    <w:tmpl w:val="169EFB3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6A8A0E98"/>
    <w:multiLevelType w:val="hybridMultilevel"/>
    <w:tmpl w:val="3B881D80"/>
    <w:lvl w:ilvl="0" w:tplc="04190001">
      <w:start w:val="1"/>
      <w:numFmt w:val="bullet"/>
      <w:lvlText w:val=""/>
      <w:lvlJc w:val="left"/>
      <w:pPr>
        <w:tabs>
          <w:tab w:val="num" w:pos="1281"/>
        </w:tabs>
        <w:ind w:left="12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1"/>
        </w:tabs>
        <w:ind w:left="20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1"/>
        </w:tabs>
        <w:ind w:left="27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1"/>
        </w:tabs>
        <w:ind w:left="34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1"/>
        </w:tabs>
        <w:ind w:left="41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1"/>
        </w:tabs>
        <w:ind w:left="48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1"/>
        </w:tabs>
        <w:ind w:left="56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1"/>
        </w:tabs>
        <w:ind w:left="63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1"/>
        </w:tabs>
        <w:ind w:left="7041" w:hanging="360"/>
      </w:pPr>
      <w:rPr>
        <w:rFonts w:ascii="Wingdings" w:hAnsi="Wingdings" w:hint="default"/>
      </w:rPr>
    </w:lvl>
  </w:abstractNum>
  <w:abstractNum w:abstractNumId="15">
    <w:nsid w:val="725D3955"/>
    <w:multiLevelType w:val="hybridMultilevel"/>
    <w:tmpl w:val="4EC409C2"/>
    <w:lvl w:ilvl="0" w:tplc="4ECAF3B0">
      <w:start w:val="1"/>
      <w:numFmt w:val="bullet"/>
      <w:suff w:val="space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73FB22EC"/>
    <w:multiLevelType w:val="hybridMultilevel"/>
    <w:tmpl w:val="DCC28EFA"/>
    <w:lvl w:ilvl="0" w:tplc="04190001">
      <w:start w:val="1"/>
      <w:numFmt w:val="bullet"/>
      <w:lvlText w:val=""/>
      <w:lvlJc w:val="left"/>
      <w:pPr>
        <w:tabs>
          <w:tab w:val="num" w:pos="1281"/>
        </w:tabs>
        <w:ind w:left="12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1"/>
        </w:tabs>
        <w:ind w:left="20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1"/>
        </w:tabs>
        <w:ind w:left="27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1"/>
        </w:tabs>
        <w:ind w:left="34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1"/>
        </w:tabs>
        <w:ind w:left="41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1"/>
        </w:tabs>
        <w:ind w:left="48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1"/>
        </w:tabs>
        <w:ind w:left="56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1"/>
        </w:tabs>
        <w:ind w:left="63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1"/>
        </w:tabs>
        <w:ind w:left="7041" w:hanging="360"/>
      </w:pPr>
      <w:rPr>
        <w:rFonts w:ascii="Wingdings" w:hAnsi="Wingdings" w:hint="default"/>
      </w:rPr>
    </w:lvl>
  </w:abstractNum>
  <w:abstractNum w:abstractNumId="17">
    <w:nsid w:val="79FB6B34"/>
    <w:multiLevelType w:val="hybridMultilevel"/>
    <w:tmpl w:val="F5E2916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7DBD7E1F"/>
    <w:multiLevelType w:val="hybridMultilevel"/>
    <w:tmpl w:val="75EA05B8"/>
    <w:lvl w:ilvl="0" w:tplc="FCA01A44">
      <w:start w:val="1"/>
      <w:numFmt w:val="bullet"/>
      <w:suff w:val="space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7F7B6A1F"/>
    <w:multiLevelType w:val="hybridMultilevel"/>
    <w:tmpl w:val="EF1CAA9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16"/>
  </w:num>
  <w:num w:numId="4">
    <w:abstractNumId w:val="6"/>
  </w:num>
  <w:num w:numId="5">
    <w:abstractNumId w:val="8"/>
  </w:num>
  <w:num w:numId="6">
    <w:abstractNumId w:val="15"/>
  </w:num>
  <w:num w:numId="7">
    <w:abstractNumId w:val="11"/>
  </w:num>
  <w:num w:numId="8">
    <w:abstractNumId w:val="7"/>
  </w:num>
  <w:num w:numId="9">
    <w:abstractNumId w:val="10"/>
  </w:num>
  <w:num w:numId="10">
    <w:abstractNumId w:val="17"/>
  </w:num>
  <w:num w:numId="11">
    <w:abstractNumId w:val="3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2"/>
  </w:num>
  <w:num w:numId="15">
    <w:abstractNumId w:val="0"/>
  </w:num>
  <w:num w:numId="16">
    <w:abstractNumId w:val="5"/>
  </w:num>
  <w:num w:numId="17">
    <w:abstractNumId w:val="4"/>
  </w:num>
  <w:num w:numId="18">
    <w:abstractNumId w:val="12"/>
  </w:num>
  <w:num w:numId="19">
    <w:abstractNumId w:val="9"/>
  </w:num>
  <w:num w:numId="20">
    <w:abstractNumId w:val="1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="709"/>
      <w:jc w:val="both"/>
    </w:pPr>
    <w:rPr>
      <w:sz w:val="24"/>
      <w:szCs w:val="24"/>
    </w:rPr>
  </w:style>
  <w:style w:type="paragraph" w:styleId="4">
    <w:name w:val="heading 4"/>
    <w:basedOn w:val="a"/>
    <w:link w:val="40"/>
    <w:qFormat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a3">
    <w:name w:val="Знак"/>
    <w:basedOn w:val="a"/>
    <w:autoRedefine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2">
    <w:name w:val="Body Text 2"/>
    <w:basedOn w:val="a"/>
    <w:link w:val="20"/>
    <w:pPr>
      <w:spacing w:after="120" w:line="480" w:lineRule="auto"/>
    </w:pPr>
  </w:style>
  <w:style w:type="character" w:customStyle="1" w:styleId="20">
    <w:name w:val="Основной текст 2 Знак"/>
    <w:link w:val="2"/>
    <w:rPr>
      <w:sz w:val="24"/>
      <w:szCs w:val="24"/>
    </w:rPr>
  </w:style>
  <w:style w:type="paragraph" w:customStyle="1" w:styleId="a4">
    <w:name w:val="Знак"/>
    <w:basedOn w:val="a"/>
    <w:autoRedefine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Block Text"/>
    <w:basedOn w:val="a"/>
    <w:pPr>
      <w:spacing w:after="120"/>
      <w:ind w:left="1440" w:right="1440"/>
    </w:pPr>
  </w:style>
  <w:style w:type="character" w:customStyle="1" w:styleId="40">
    <w:name w:val="Заголовок 4 Знак"/>
    <w:link w:val="4"/>
    <w:rPr>
      <w:b/>
      <w:bCs/>
      <w:sz w:val="24"/>
      <w:szCs w:val="24"/>
    </w:rPr>
  </w:style>
  <w:style w:type="paragraph" w:styleId="a6">
    <w:name w:val="Normal (Web)"/>
    <w:basedOn w:val="a"/>
    <w:uiPriority w:val="99"/>
    <w:pPr>
      <w:spacing w:before="100" w:beforeAutospacing="1" w:after="100" w:afterAutospacing="1"/>
    </w:pPr>
  </w:style>
  <w:style w:type="paragraph" w:styleId="a7">
    <w:name w:val="Balloon Text"/>
    <w:basedOn w:val="a"/>
    <w:link w:val="a8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Pr>
      <w:rFonts w:ascii="Tahoma" w:hAnsi="Tahoma" w:cs="Tahoma"/>
      <w:sz w:val="16"/>
      <w:szCs w:val="16"/>
    </w:rPr>
  </w:style>
  <w:style w:type="paragraph" w:customStyle="1" w:styleId="rmcojbes">
    <w:name w:val="rmcojbes"/>
    <w:basedOn w:val="a"/>
    <w:pPr>
      <w:spacing w:before="100" w:beforeAutospacing="1" w:after="100" w:afterAutospacing="1"/>
    </w:pPr>
  </w:style>
  <w:style w:type="paragraph" w:styleId="a9">
    <w:name w:val="Title"/>
    <w:basedOn w:val="a"/>
    <w:link w:val="aa"/>
    <w:qFormat/>
    <w:pPr>
      <w:jc w:val="center"/>
    </w:pPr>
    <w:rPr>
      <w:b/>
      <w:bCs/>
      <w:sz w:val="28"/>
      <w:lang w:eastAsia="en-US"/>
    </w:rPr>
  </w:style>
  <w:style w:type="character" w:customStyle="1" w:styleId="aa">
    <w:name w:val="Название Знак"/>
    <w:link w:val="a9"/>
    <w:rPr>
      <w:b/>
      <w:bCs/>
      <w:sz w:val="28"/>
      <w:szCs w:val="24"/>
      <w:lang w:eastAsia="en-US"/>
    </w:rPr>
  </w:style>
  <w:style w:type="paragraph" w:styleId="ab">
    <w:name w:val="Body Text Indent"/>
    <w:basedOn w:val="a"/>
    <w:link w:val="ac"/>
    <w:pPr>
      <w:spacing w:after="120"/>
      <w:ind w:left="283"/>
    </w:pPr>
  </w:style>
  <w:style w:type="character" w:customStyle="1" w:styleId="ac">
    <w:name w:val="Основной текст с отступом Знак"/>
    <w:link w:val="ab"/>
    <w:rPr>
      <w:sz w:val="24"/>
      <w:szCs w:val="24"/>
    </w:rPr>
  </w:style>
  <w:style w:type="character" w:styleId="ad">
    <w:name w:val="Strong"/>
    <w:qFormat/>
    <w:rPr>
      <w:b/>
      <w:bCs/>
    </w:rPr>
  </w:style>
  <w:style w:type="paragraph" w:styleId="ae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sz w:val="28"/>
      <w:szCs w:val="28"/>
    </w:rPr>
  </w:style>
  <w:style w:type="paragraph" w:styleId="af">
    <w:name w:val="head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Pr>
      <w:sz w:val="24"/>
      <w:szCs w:val="24"/>
    </w:rPr>
  </w:style>
  <w:style w:type="paragraph" w:styleId="af1">
    <w:name w:val="footer"/>
    <w:basedOn w:val="a"/>
    <w:link w:val="af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0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1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7357">
                  <w:marLeft w:val="0"/>
                  <w:marRight w:val="0"/>
                  <w:marTop w:val="120"/>
                  <w:marBottom w:val="0"/>
                  <w:divBdr>
                    <w:top w:val="single" w:sz="4" w:space="0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9065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735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540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72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C0FBC-A9D3-4C38-ABF5-6FCEEFDB4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1172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2012 году завершился период реализации программы «Развитие сельского хозяйства и регулирование рынков сельскохозяйственной продукции, сырья и продовольствия Балаковского района на 2008 – 2012 годы», окончательные итоги будут подводиться в течение 2013</vt:lpstr>
    </vt:vector>
  </TitlesOfParts>
  <Company>БМО</Company>
  <LinksUpToDate>false</LinksUpToDate>
  <CharactersWithSpaces>7843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2012 году завершился период реализации программы «Развитие сельского хозяйства и регулирование рынков сельскохозяйственной продукции, сырья и продовольствия Балаковского района на 2008 – 2012 годы», окончательные итоги будут подводиться в течение 2013</dc:title>
  <dc:creator>Администратор</dc:creator>
  <cp:lastModifiedBy>User</cp:lastModifiedBy>
  <cp:revision>3</cp:revision>
  <cp:lastPrinted>2023-12-11T05:59:00Z</cp:lastPrinted>
  <dcterms:created xsi:type="dcterms:W3CDTF">2023-12-08T11:18:00Z</dcterms:created>
  <dcterms:modified xsi:type="dcterms:W3CDTF">2023-12-11T05:59:00Z</dcterms:modified>
</cp:coreProperties>
</file>